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E28" w:rsidRDefault="00746E28" w:rsidP="006A4EA7">
      <w:pPr>
        <w:pStyle w:val="NormalWeb"/>
        <w:shd w:val="clear" w:color="auto" w:fill="FFFFFF"/>
        <w:spacing w:before="120" w:beforeAutospacing="0" w:after="120" w:afterAutospacing="0" w:line="336" w:lineRule="atLeast"/>
        <w:ind w:left="-426" w:right="-766"/>
        <w:jc w:val="center"/>
        <w:rPr>
          <w:rFonts w:ascii="Arial" w:hAnsi="Arial" w:cs="Arial"/>
          <w:b/>
          <w:i/>
          <w:color w:val="252525"/>
          <w:sz w:val="21"/>
          <w:szCs w:val="21"/>
          <w:u w:val="thick"/>
        </w:rPr>
      </w:pPr>
      <w:r>
        <w:rPr>
          <w:rFonts w:ascii="Arial" w:hAnsi="Arial" w:cs="Arial"/>
          <w:b/>
          <w:i/>
          <w:color w:val="252525"/>
          <w:sz w:val="21"/>
          <w:szCs w:val="21"/>
          <w:u w:val="thick"/>
        </w:rPr>
        <w:t>ΕΡΓΑΣΙΑ ΤΩΝ</w:t>
      </w:r>
      <w:r w:rsidRPr="00746E28">
        <w:rPr>
          <w:rFonts w:ascii="Arial" w:hAnsi="Arial" w:cs="Arial"/>
          <w:b/>
          <w:i/>
          <w:color w:val="252525"/>
          <w:sz w:val="21"/>
          <w:szCs w:val="21"/>
          <w:u w:val="thick"/>
        </w:rPr>
        <w:t xml:space="preserve">: </w:t>
      </w:r>
      <w:r>
        <w:rPr>
          <w:rFonts w:ascii="Arial" w:hAnsi="Arial" w:cs="Arial"/>
          <w:b/>
          <w:i/>
          <w:color w:val="252525"/>
          <w:sz w:val="21"/>
          <w:szCs w:val="21"/>
          <w:u w:val="thick"/>
        </w:rPr>
        <w:t>ΠΑΠΠΑ ΙΩΑΝΝΑΣ</w:t>
      </w:r>
    </w:p>
    <w:p w:rsidR="00746E28" w:rsidRPr="00746E28" w:rsidRDefault="00746E28" w:rsidP="006A4EA7">
      <w:pPr>
        <w:pStyle w:val="NormalWeb"/>
        <w:shd w:val="clear" w:color="auto" w:fill="FFFFFF"/>
        <w:spacing w:before="120" w:beforeAutospacing="0" w:after="120" w:afterAutospacing="0" w:line="336" w:lineRule="atLeast"/>
        <w:ind w:left="-426" w:right="-766"/>
        <w:jc w:val="center"/>
        <w:rPr>
          <w:rFonts w:ascii="Arial" w:hAnsi="Arial" w:cs="Arial"/>
          <w:b/>
          <w:i/>
          <w:color w:val="252525"/>
          <w:sz w:val="21"/>
          <w:szCs w:val="21"/>
          <w:u w:val="thick"/>
        </w:rPr>
      </w:pPr>
      <w:r>
        <w:rPr>
          <w:rFonts w:ascii="Arial" w:hAnsi="Arial" w:cs="Arial"/>
          <w:b/>
          <w:i/>
          <w:color w:val="252525"/>
          <w:sz w:val="21"/>
          <w:szCs w:val="21"/>
          <w:u w:val="thick"/>
        </w:rPr>
        <w:t>ΝΤΑΝΤΑΣΙΟΥ ΕΛΕΝΗΣ-ΚΩΝ/ΝΑΣ</w:t>
      </w:r>
    </w:p>
    <w:p w:rsidR="00746E28" w:rsidRPr="00746E28" w:rsidRDefault="00746E28" w:rsidP="006A4EA7">
      <w:pPr>
        <w:pStyle w:val="NormalWeb"/>
        <w:shd w:val="clear" w:color="auto" w:fill="FFFFFF"/>
        <w:spacing w:before="120" w:beforeAutospacing="0" w:after="120" w:afterAutospacing="0" w:line="336" w:lineRule="atLeast"/>
        <w:ind w:left="-426" w:right="-766"/>
        <w:jc w:val="center"/>
        <w:rPr>
          <w:rFonts w:ascii="Arial" w:hAnsi="Arial" w:cs="Arial"/>
          <w:b/>
          <w:i/>
          <w:color w:val="252525"/>
          <w:sz w:val="21"/>
          <w:szCs w:val="21"/>
          <w:u w:val="thick"/>
        </w:rPr>
      </w:pPr>
    </w:p>
    <w:p w:rsidR="006A4EA7" w:rsidRPr="003C26F7" w:rsidRDefault="003C26F7" w:rsidP="006A4EA7">
      <w:pPr>
        <w:pStyle w:val="NormalWeb"/>
        <w:shd w:val="clear" w:color="auto" w:fill="FFFFFF"/>
        <w:spacing w:before="120" w:beforeAutospacing="0" w:after="120" w:afterAutospacing="0" w:line="336" w:lineRule="atLeast"/>
        <w:ind w:left="-426" w:right="-766"/>
        <w:jc w:val="center"/>
        <w:rPr>
          <w:rFonts w:ascii="Arial" w:hAnsi="Arial" w:cs="Arial"/>
          <w:b/>
          <w:i/>
          <w:color w:val="252525"/>
          <w:sz w:val="21"/>
          <w:szCs w:val="21"/>
          <w:u w:val="thick"/>
          <w:lang w:val="en-US"/>
        </w:rPr>
      </w:pPr>
      <w:r w:rsidRPr="003C26F7">
        <w:rPr>
          <w:rFonts w:ascii="Arial" w:hAnsi="Arial" w:cs="Arial"/>
          <w:b/>
          <w:i/>
          <w:color w:val="252525"/>
          <w:sz w:val="21"/>
          <w:szCs w:val="21"/>
          <w:u w:val="thick"/>
          <w:lang w:val="en-US"/>
        </w:rPr>
        <w:t>ECONOMIC HISTORY OF ITALY</w:t>
      </w:r>
    </w:p>
    <w:p w:rsidR="006A4EA7" w:rsidRPr="003C26F7" w:rsidRDefault="00C80D1E" w:rsidP="003C26F7">
      <w:pPr>
        <w:pStyle w:val="NormalWeb"/>
        <w:shd w:val="clear" w:color="auto" w:fill="FFFFFF"/>
        <w:spacing w:before="120" w:beforeAutospacing="0" w:after="120" w:afterAutospacing="0" w:line="336" w:lineRule="atLeast"/>
        <w:ind w:left="-426" w:right="-766"/>
        <w:jc w:val="center"/>
        <w:rPr>
          <w:rFonts w:ascii="Arial" w:hAnsi="Arial" w:cs="Arial"/>
          <w:b/>
          <w:i/>
          <w:color w:val="252525"/>
          <w:sz w:val="21"/>
          <w:szCs w:val="21"/>
          <w:u w:val="thick"/>
          <w:lang w:val="en-US"/>
        </w:rPr>
      </w:pPr>
      <w:r>
        <w:rPr>
          <w:rFonts w:ascii="Arial" w:hAnsi="Arial" w:cs="Arial"/>
          <w:b/>
          <w:i/>
          <w:color w:val="252525"/>
          <w:sz w:val="21"/>
          <w:szCs w:val="21"/>
          <w:u w:val="thick"/>
          <w:lang w:val="en-US"/>
        </w:rPr>
        <w:t>=</w:t>
      </w:r>
      <w:r w:rsidR="003C26F7" w:rsidRPr="003C26F7">
        <w:rPr>
          <w:rFonts w:ascii="Arial" w:hAnsi="Arial" w:cs="Arial"/>
          <w:b/>
          <w:i/>
          <w:color w:val="252525"/>
          <w:sz w:val="21"/>
          <w:szCs w:val="21"/>
          <w:u w:val="thick"/>
          <w:lang w:val="en-US"/>
        </w:rPr>
        <w:t>1974-2014</w:t>
      </w:r>
    </w:p>
    <w:p w:rsidR="003C26F7" w:rsidRDefault="003C26F7" w:rsidP="003C26F7">
      <w:pPr>
        <w:pStyle w:val="NormalWeb"/>
        <w:shd w:val="clear" w:color="auto" w:fill="FFFFFF"/>
        <w:spacing w:before="120" w:beforeAutospacing="0" w:after="120" w:afterAutospacing="0" w:line="336" w:lineRule="atLeast"/>
        <w:ind w:left="-426" w:right="-766"/>
        <w:jc w:val="center"/>
        <w:rPr>
          <w:rFonts w:ascii="Arial" w:hAnsi="Arial" w:cs="Arial"/>
          <w:color w:val="252525"/>
          <w:sz w:val="21"/>
          <w:szCs w:val="21"/>
          <w:lang w:val="en-US"/>
        </w:rPr>
      </w:pPr>
    </w:p>
    <w:p w:rsidR="005C339E" w:rsidRDefault="003C26F7" w:rsidP="006A4EA7">
      <w:pPr>
        <w:pStyle w:val="NormalWeb"/>
        <w:shd w:val="clear" w:color="auto" w:fill="FFFFFF"/>
        <w:spacing w:before="120" w:beforeAutospacing="0" w:after="120" w:afterAutospacing="0" w:line="336" w:lineRule="atLeast"/>
        <w:ind w:left="-426" w:right="-766"/>
        <w:jc w:val="both"/>
        <w:rPr>
          <w:rFonts w:ascii="Arial" w:hAnsi="Arial" w:cs="Arial"/>
          <w:color w:val="252525"/>
          <w:sz w:val="21"/>
          <w:szCs w:val="21"/>
          <w:lang w:val="en-US"/>
        </w:rPr>
      </w:pPr>
      <w:r>
        <w:rPr>
          <w:rFonts w:ascii="Arial" w:hAnsi="Arial" w:cs="Arial"/>
          <w:color w:val="252525"/>
          <w:sz w:val="21"/>
          <w:szCs w:val="21"/>
          <w:lang w:val="en-US"/>
        </w:rPr>
        <w:t xml:space="preserve">   </w:t>
      </w:r>
      <w:r w:rsidR="005C339E">
        <w:rPr>
          <w:rFonts w:ascii="Arial" w:hAnsi="Arial" w:cs="Arial"/>
          <w:color w:val="252525"/>
          <w:sz w:val="21"/>
          <w:szCs w:val="21"/>
          <w:lang w:val="en-US"/>
        </w:rPr>
        <w:t>After 1964, Italy maintained for a while a constant growth rate of above 8% every year.</w:t>
      </w:r>
      <w:r w:rsidR="005C339E">
        <w:rPr>
          <w:lang w:val="en-US"/>
        </w:rPr>
        <w:t xml:space="preserve"> </w:t>
      </w:r>
      <w:r w:rsidR="005C339E">
        <w:rPr>
          <w:rFonts w:ascii="Arial" w:hAnsi="Arial" w:cs="Arial"/>
          <w:color w:val="252525"/>
          <w:sz w:val="21"/>
          <w:szCs w:val="21"/>
          <w:lang w:val="en-US"/>
        </w:rPr>
        <w:t xml:space="preserve"> Despite this, due to political, economical and social problems in the country during the late-1960s and most of the 1970s,</w:t>
      </w:r>
      <w:r w:rsidR="005C339E">
        <w:rPr>
          <w:lang w:val="en-US"/>
        </w:rPr>
        <w:t xml:space="preserve"> </w:t>
      </w:r>
      <w:r w:rsidR="005C339E">
        <w:rPr>
          <w:rStyle w:val="apple-converted-space"/>
          <w:rFonts w:ascii="Arial" w:hAnsi="Arial" w:cs="Arial"/>
          <w:color w:val="252525"/>
          <w:sz w:val="21"/>
          <w:szCs w:val="21"/>
          <w:lang w:val="en-US"/>
        </w:rPr>
        <w:t> </w:t>
      </w:r>
      <w:r w:rsidR="005C339E">
        <w:rPr>
          <w:rFonts w:ascii="Arial" w:hAnsi="Arial" w:cs="Arial"/>
          <w:color w:val="252525"/>
          <w:sz w:val="21"/>
          <w:szCs w:val="21"/>
          <w:lang w:val="en-US"/>
        </w:rPr>
        <w:t>the economy went stagnant and entered its first recession after that of the late-1940s. The problems included an increasingly high inflation rate,  high energy prices (Italy is highly dependent on foreign oil and natural gas resources). This economic recession went on into the early-1980s until a reduce of public costs and spendings, tighter budgets and deficits, a steady economic growth, and a lowered inflation rate meant that by the recovery plan of 1983,  Italy left recession.</w:t>
      </w:r>
      <w:r w:rsidR="005C339E">
        <w:rPr>
          <w:rStyle w:val="apple-converted-space"/>
          <w:rFonts w:ascii="Arial" w:hAnsi="Arial" w:cs="Arial"/>
          <w:color w:val="252525"/>
          <w:sz w:val="21"/>
          <w:szCs w:val="21"/>
          <w:lang w:val="en-US"/>
        </w:rPr>
        <w:t xml:space="preserve"> </w:t>
      </w:r>
      <w:r w:rsidR="005C339E">
        <w:rPr>
          <w:rFonts w:ascii="Arial" w:hAnsi="Arial" w:cs="Arial"/>
          <w:color w:val="252525"/>
          <w:sz w:val="21"/>
          <w:szCs w:val="21"/>
          <w:lang w:val="en-US"/>
        </w:rPr>
        <w:t xml:space="preserve"> This plan led to an increasing GDP growth,  lower inflation, and increased industrial/agricultural/commercial produce, exports and output, yet made the unemployment rate rise.</w:t>
      </w:r>
      <w:r w:rsidR="005C339E">
        <w:rPr>
          <w:lang w:val="en-US"/>
        </w:rPr>
        <w:t xml:space="preserve"> </w:t>
      </w:r>
      <w:r w:rsidR="005C339E">
        <w:rPr>
          <w:rFonts w:ascii="Arial" w:hAnsi="Arial" w:cs="Arial"/>
          <w:color w:val="252525"/>
          <w:sz w:val="21"/>
          <w:szCs w:val="21"/>
          <w:lang w:val="en-US"/>
        </w:rPr>
        <w:t xml:space="preserve"> A decrease in energy prices and lowered value of the dollar led to foreign exchange being liberalised and the economy to re-grow rapidly.</w:t>
      </w:r>
      <w:r w:rsidR="005C339E">
        <w:rPr>
          <w:lang w:val="en-US"/>
        </w:rPr>
        <w:t xml:space="preserve"> </w:t>
      </w:r>
      <w:r w:rsidR="005C339E">
        <w:rPr>
          <w:rStyle w:val="apple-converted-space"/>
          <w:rFonts w:ascii="Arial" w:hAnsi="Arial" w:cs="Arial"/>
          <w:color w:val="252525"/>
          <w:sz w:val="21"/>
          <w:szCs w:val="21"/>
          <w:lang w:val="en-US"/>
        </w:rPr>
        <w:t> </w:t>
      </w:r>
      <w:r w:rsidR="005C339E">
        <w:rPr>
          <w:rFonts w:ascii="Arial" w:hAnsi="Arial" w:cs="Arial"/>
          <w:color w:val="252525"/>
          <w:sz w:val="21"/>
          <w:szCs w:val="21"/>
          <w:lang w:val="en-US"/>
        </w:rPr>
        <w:t>As a matter of fact, in 1987, Italy had a period when it surpassed the</w:t>
      </w:r>
      <w:r w:rsidR="005C339E">
        <w:rPr>
          <w:rStyle w:val="apple-converted-space"/>
          <w:rFonts w:ascii="Arial" w:hAnsi="Arial" w:cs="Arial"/>
          <w:color w:val="252525"/>
          <w:sz w:val="21"/>
          <w:szCs w:val="21"/>
          <w:lang w:val="en-US"/>
        </w:rPr>
        <w:t> </w:t>
      </w:r>
      <w:r w:rsidR="005C339E" w:rsidRPr="009B34CE">
        <w:rPr>
          <w:rFonts w:ascii="Arial" w:hAnsi="Arial" w:cs="Arial"/>
          <w:sz w:val="21"/>
          <w:szCs w:val="21"/>
          <w:lang w:val="en-US"/>
        </w:rPr>
        <w:t>British economy</w:t>
      </w:r>
      <w:r w:rsidR="005C339E">
        <w:rPr>
          <w:rFonts w:ascii="Arial" w:hAnsi="Arial" w:cs="Arial"/>
          <w:color w:val="252525"/>
          <w:sz w:val="21"/>
          <w:szCs w:val="21"/>
          <w:lang w:val="en-US"/>
        </w:rPr>
        <w:t>, becoming the sixth in the world.</w:t>
      </w:r>
    </w:p>
    <w:p w:rsidR="005C339E" w:rsidRPr="005C339E" w:rsidRDefault="003C26F7" w:rsidP="006A4EA7">
      <w:pPr>
        <w:pStyle w:val="NormalWeb"/>
        <w:shd w:val="clear" w:color="auto" w:fill="FFFFFF"/>
        <w:spacing w:before="120" w:beforeAutospacing="0" w:after="120" w:afterAutospacing="0" w:line="336" w:lineRule="atLeast"/>
        <w:ind w:left="-426" w:right="-766"/>
        <w:jc w:val="both"/>
        <w:rPr>
          <w:lang w:val="en-US"/>
        </w:rPr>
      </w:pPr>
      <w:r>
        <w:rPr>
          <w:rFonts w:ascii="Arial" w:hAnsi="Arial" w:cs="Arial"/>
          <w:color w:val="252525"/>
          <w:sz w:val="21"/>
          <w:szCs w:val="21"/>
          <w:lang w:val="en-US"/>
        </w:rPr>
        <w:t xml:space="preserve">   </w:t>
      </w:r>
      <w:r w:rsidR="005C339E">
        <w:rPr>
          <w:rFonts w:ascii="Arial" w:hAnsi="Arial" w:cs="Arial"/>
          <w:color w:val="252525"/>
          <w:sz w:val="21"/>
          <w:szCs w:val="21"/>
          <w:lang w:val="en-US"/>
        </w:rPr>
        <w:t>The 1970s and 1980s was also the period of investment and rapid economic growth in the South, unlike Northern and Central Italy which mainly grew in the 1950s and early 1960s. The "Vanoni Plan" ensured that a new programme to help growth in the South called "Cassa per il Mezzogiorno" (Funds for the "Mezzogiorno" (a slang for Southern Italy, literally meaning "midday")) was put in place. Investment was worth billions of US dollars: from 1951–1978, the money given to the South was $11.5 billion for infrastructure,</w:t>
      </w:r>
      <w:r w:rsidR="005C339E">
        <w:rPr>
          <w:lang w:val="en-US"/>
        </w:rPr>
        <w:t xml:space="preserve"> </w:t>
      </w:r>
      <w:r w:rsidR="005C339E">
        <w:rPr>
          <w:rFonts w:ascii="Arial" w:hAnsi="Arial" w:cs="Arial"/>
          <w:color w:val="252525"/>
          <w:sz w:val="21"/>
          <w:szCs w:val="21"/>
          <w:lang w:val="en-US"/>
        </w:rPr>
        <w:t>$13 billion for low-cost loans,</w:t>
      </w:r>
      <w:r w:rsidR="005C339E">
        <w:rPr>
          <w:rStyle w:val="apple-converted-space"/>
          <w:rFonts w:ascii="Arial" w:hAnsi="Arial" w:cs="Arial"/>
          <w:color w:val="252525"/>
          <w:sz w:val="21"/>
          <w:szCs w:val="21"/>
          <w:lang w:val="en-US"/>
        </w:rPr>
        <w:t xml:space="preserve"> </w:t>
      </w:r>
      <w:r w:rsidR="005C339E">
        <w:rPr>
          <w:rFonts w:ascii="Arial" w:hAnsi="Arial" w:cs="Arial"/>
          <w:color w:val="252525"/>
          <w:sz w:val="21"/>
          <w:szCs w:val="21"/>
          <w:lang w:val="en-US"/>
        </w:rPr>
        <w:t>and outrighted grants were worth $3.2 billion.</w:t>
      </w:r>
      <w:r w:rsidR="005C339E" w:rsidRPr="005C339E">
        <w:rPr>
          <w:rFonts w:ascii="Arial" w:hAnsi="Arial" w:cs="Arial"/>
          <w:color w:val="252525"/>
          <w:sz w:val="21"/>
          <w:szCs w:val="21"/>
          <w:lang w:val="en-US"/>
        </w:rPr>
        <w:t xml:space="preserve"> </w:t>
      </w:r>
    </w:p>
    <w:p w:rsidR="005C339E" w:rsidRDefault="003C26F7" w:rsidP="006A4EA7">
      <w:pPr>
        <w:pStyle w:val="NormalWeb"/>
        <w:shd w:val="clear" w:color="auto" w:fill="FFFFFF"/>
        <w:spacing w:before="120" w:beforeAutospacing="0" w:after="120" w:afterAutospacing="0" w:line="336" w:lineRule="atLeast"/>
        <w:ind w:left="-426" w:right="-766"/>
        <w:jc w:val="both"/>
        <w:rPr>
          <w:rFonts w:ascii="Arial" w:hAnsi="Arial" w:cs="Arial"/>
          <w:color w:val="252525"/>
          <w:sz w:val="21"/>
          <w:szCs w:val="21"/>
          <w:lang w:val="en-US"/>
        </w:rPr>
      </w:pPr>
      <w:r>
        <w:rPr>
          <w:rFonts w:ascii="Arial" w:hAnsi="Arial" w:cs="Arial"/>
          <w:color w:val="252525"/>
          <w:sz w:val="21"/>
          <w:szCs w:val="21"/>
          <w:lang w:val="en-US"/>
        </w:rPr>
        <w:t xml:space="preserve">   </w:t>
      </w:r>
      <w:r w:rsidR="005C339E">
        <w:rPr>
          <w:rFonts w:ascii="Arial" w:hAnsi="Arial" w:cs="Arial"/>
          <w:color w:val="252525"/>
          <w:sz w:val="21"/>
          <w:szCs w:val="21"/>
          <w:lang w:val="en-US"/>
        </w:rPr>
        <w:t>On 15 May 1991, Italy became the fourth worldwide economic power, overcoming France,</w:t>
      </w:r>
      <w:r w:rsidR="005C339E">
        <w:rPr>
          <w:rStyle w:val="apple-converted-space"/>
          <w:rFonts w:ascii="Arial" w:hAnsi="Arial" w:cs="Arial"/>
          <w:color w:val="252525"/>
          <w:sz w:val="21"/>
          <w:szCs w:val="21"/>
          <w:lang w:val="en-US"/>
        </w:rPr>
        <w:t xml:space="preserve"> </w:t>
      </w:r>
      <w:r w:rsidR="005C339E">
        <w:rPr>
          <w:rFonts w:ascii="Arial" w:hAnsi="Arial" w:cs="Arial"/>
          <w:color w:val="252525"/>
          <w:sz w:val="21"/>
          <w:szCs w:val="21"/>
          <w:lang w:val="en-US"/>
        </w:rPr>
        <w:t>called the "secondo sorpasso" with a GDP of US$ 1.268 trillion, compared to France's GDP of US$ 1.209 trillion and Britain's of US$ 1.087 trillion. Despite this, however, Italy's alleged, according to</w:t>
      </w:r>
      <w:r w:rsidR="005C339E">
        <w:rPr>
          <w:rStyle w:val="apple-converted-space"/>
          <w:rFonts w:ascii="Arial" w:hAnsi="Arial" w:cs="Arial"/>
          <w:color w:val="252525"/>
          <w:sz w:val="21"/>
          <w:szCs w:val="21"/>
          <w:lang w:val="en-US"/>
        </w:rPr>
        <w:t> </w:t>
      </w:r>
      <w:r w:rsidR="005C339E" w:rsidRPr="009B34CE">
        <w:rPr>
          <w:rFonts w:ascii="Arial" w:hAnsi="Arial" w:cs="Arial"/>
          <w:sz w:val="21"/>
          <w:szCs w:val="21"/>
          <w:lang w:val="en-US"/>
        </w:rPr>
        <w:t>the Economist</w:t>
      </w:r>
      <w:r w:rsidR="005C339E">
        <w:rPr>
          <w:rFonts w:ascii="Arial" w:hAnsi="Arial" w:cs="Arial"/>
          <w:color w:val="252525"/>
          <w:sz w:val="21"/>
          <w:szCs w:val="21"/>
          <w:lang w:val="en-US"/>
        </w:rPr>
        <w:t>'s, 1987 GDP growth of a phenomenal 18%, Italy was shortly re-overtaken by both France and the United Kingdom after Britain's economic growth and the arrival of a new strong</w:t>
      </w:r>
      <w:r w:rsidR="005C339E">
        <w:rPr>
          <w:rStyle w:val="apple-converted-space"/>
          <w:rFonts w:ascii="Arial" w:hAnsi="Arial" w:cs="Arial"/>
          <w:color w:val="252525"/>
          <w:sz w:val="21"/>
          <w:szCs w:val="21"/>
          <w:lang w:val="en-US"/>
        </w:rPr>
        <w:t> </w:t>
      </w:r>
      <w:r w:rsidR="005C339E" w:rsidRPr="009B34CE">
        <w:rPr>
          <w:rFonts w:ascii="Arial" w:hAnsi="Arial" w:cs="Arial"/>
          <w:sz w:val="21"/>
          <w:szCs w:val="21"/>
          <w:lang w:val="en-US"/>
        </w:rPr>
        <w:t>pound sterling</w:t>
      </w:r>
      <w:r w:rsidR="005C339E">
        <w:rPr>
          <w:rFonts w:ascii="Arial" w:hAnsi="Arial" w:cs="Arial"/>
          <w:color w:val="252525"/>
          <w:sz w:val="21"/>
          <w:szCs w:val="21"/>
          <w:lang w:val="en-US"/>
        </w:rPr>
        <w:t>.</w:t>
      </w:r>
    </w:p>
    <w:p w:rsidR="006A4EA7" w:rsidRDefault="006A4EA7" w:rsidP="006A4EA7">
      <w:pPr>
        <w:pStyle w:val="Heading2"/>
        <w:pBdr>
          <w:bottom w:val="single" w:sz="6" w:space="0" w:color="AAAAAA"/>
        </w:pBdr>
        <w:shd w:val="clear" w:color="auto" w:fill="FFFFFF"/>
        <w:spacing w:before="240" w:after="60"/>
        <w:ind w:left="-426" w:right="-766"/>
        <w:jc w:val="both"/>
        <w:rPr>
          <w:rStyle w:val="mw-headline"/>
          <w:rFonts w:ascii="Georgia" w:hAnsi="Georgia"/>
          <w:b w:val="0"/>
          <w:bCs w:val="0"/>
          <w:color w:val="000000"/>
          <w:lang w:val="en-US"/>
        </w:rPr>
      </w:pPr>
    </w:p>
    <w:p w:rsidR="006A4EA7" w:rsidRDefault="006A4EA7" w:rsidP="006A4EA7">
      <w:pPr>
        <w:pStyle w:val="Heading2"/>
        <w:pBdr>
          <w:bottom w:val="single" w:sz="6" w:space="0" w:color="AAAAAA"/>
        </w:pBdr>
        <w:shd w:val="clear" w:color="auto" w:fill="FFFFFF"/>
        <w:spacing w:before="240" w:after="60"/>
        <w:ind w:right="-766"/>
        <w:jc w:val="both"/>
        <w:rPr>
          <w:rStyle w:val="mw-headline"/>
          <w:rFonts w:ascii="Georgia" w:hAnsi="Georgia"/>
          <w:b w:val="0"/>
          <w:bCs w:val="0"/>
          <w:color w:val="000000"/>
          <w:lang w:val="en-US"/>
        </w:rPr>
      </w:pPr>
    </w:p>
    <w:p w:rsidR="006A4EA7" w:rsidRDefault="006A4EA7" w:rsidP="006A4EA7">
      <w:pPr>
        <w:pStyle w:val="Heading2"/>
        <w:pBdr>
          <w:bottom w:val="single" w:sz="6" w:space="0" w:color="AAAAAA"/>
        </w:pBdr>
        <w:shd w:val="clear" w:color="auto" w:fill="FFFFFF"/>
        <w:spacing w:before="240" w:after="60"/>
        <w:jc w:val="both"/>
        <w:rPr>
          <w:rStyle w:val="mw-headline"/>
          <w:rFonts w:ascii="Georgia" w:hAnsi="Georgia"/>
          <w:b w:val="0"/>
          <w:bCs w:val="0"/>
          <w:color w:val="000000"/>
          <w:lang w:val="en-US"/>
        </w:rPr>
      </w:pPr>
    </w:p>
    <w:p w:rsidR="005C339E" w:rsidRPr="005C339E" w:rsidRDefault="005C339E" w:rsidP="006A4EA7">
      <w:pPr>
        <w:pStyle w:val="Heading2"/>
        <w:pageBreakBefore/>
        <w:pBdr>
          <w:bottom w:val="single" w:sz="6" w:space="0" w:color="AAAAAA"/>
        </w:pBdr>
        <w:shd w:val="clear" w:color="auto" w:fill="FFFFFF"/>
        <w:spacing w:before="240" w:after="60"/>
        <w:ind w:left="-426" w:right="-766"/>
        <w:rPr>
          <w:rFonts w:ascii="Georgia" w:hAnsi="Georgia"/>
          <w:b w:val="0"/>
          <w:bCs w:val="0"/>
          <w:color w:val="000000"/>
          <w:sz w:val="36"/>
          <w:szCs w:val="36"/>
          <w:lang w:val="en-US"/>
        </w:rPr>
      </w:pPr>
      <w:r>
        <w:rPr>
          <w:rStyle w:val="mw-headline"/>
          <w:rFonts w:ascii="Georgia" w:hAnsi="Georgia"/>
          <w:b w:val="0"/>
          <w:bCs w:val="0"/>
          <w:color w:val="000000"/>
          <w:lang w:val="en-US"/>
        </w:rPr>
        <w:lastRenderedPageBreak/>
        <w:t>1990s</w:t>
      </w:r>
    </w:p>
    <w:p w:rsidR="005C339E" w:rsidRPr="005C339E" w:rsidRDefault="003C26F7" w:rsidP="006A4EA7">
      <w:pPr>
        <w:pStyle w:val="NormalWeb"/>
        <w:shd w:val="clear" w:color="auto" w:fill="FFFFFF"/>
        <w:spacing w:before="120" w:beforeAutospacing="0" w:after="120" w:afterAutospacing="0" w:line="336" w:lineRule="atLeast"/>
        <w:ind w:left="-426" w:right="-625"/>
        <w:jc w:val="both"/>
        <w:rPr>
          <w:rFonts w:ascii="Arial" w:hAnsi="Arial" w:cs="Arial"/>
          <w:color w:val="252525"/>
          <w:sz w:val="21"/>
          <w:szCs w:val="21"/>
          <w:lang w:val="en-US"/>
        </w:rPr>
      </w:pPr>
      <w:r>
        <w:rPr>
          <w:rFonts w:ascii="Arial" w:hAnsi="Arial" w:cs="Arial"/>
          <w:color w:val="252525"/>
          <w:sz w:val="21"/>
          <w:szCs w:val="21"/>
          <w:lang w:val="en-US"/>
        </w:rPr>
        <w:t xml:space="preserve">   </w:t>
      </w:r>
      <w:r w:rsidR="005C339E">
        <w:rPr>
          <w:rFonts w:ascii="Arial" w:hAnsi="Arial" w:cs="Arial"/>
          <w:color w:val="252525"/>
          <w:sz w:val="21"/>
          <w:szCs w:val="21"/>
          <w:lang w:val="en-US"/>
        </w:rPr>
        <w:t>By the 1990s, the Italian government was fighting to lower the internal and external debt, liberalise the economy, reduce governmental spending, selling business and enterprises owned by the state, and trying to stop</w:t>
      </w:r>
      <w:r w:rsidR="005C339E">
        <w:rPr>
          <w:rStyle w:val="apple-converted-space"/>
          <w:rFonts w:ascii="Arial" w:hAnsi="Arial" w:cs="Arial"/>
          <w:color w:val="252525"/>
          <w:sz w:val="21"/>
          <w:szCs w:val="21"/>
          <w:lang w:val="en-US"/>
        </w:rPr>
        <w:t> </w:t>
      </w:r>
      <w:r w:rsidR="005C339E" w:rsidRPr="009B34CE">
        <w:rPr>
          <w:rFonts w:ascii="Arial" w:hAnsi="Arial" w:cs="Arial"/>
          <w:sz w:val="21"/>
          <w:szCs w:val="21"/>
          <w:lang w:val="en-US"/>
        </w:rPr>
        <w:t>tax evasion</w:t>
      </w:r>
      <w:r w:rsidR="005C339E">
        <w:rPr>
          <w:rFonts w:ascii="Arial" w:hAnsi="Arial" w:cs="Arial"/>
          <w:color w:val="252525"/>
          <w:sz w:val="21"/>
          <w:szCs w:val="21"/>
          <w:lang w:val="en-US"/>
        </w:rPr>
        <w:t>; the liberalisation of the economy meant that Italy was able to enter the</w:t>
      </w:r>
      <w:r w:rsidR="005C339E">
        <w:rPr>
          <w:rStyle w:val="apple-converted-space"/>
          <w:rFonts w:ascii="Arial" w:hAnsi="Arial" w:cs="Arial"/>
          <w:color w:val="252525"/>
          <w:sz w:val="21"/>
          <w:szCs w:val="21"/>
          <w:lang w:val="en-US"/>
        </w:rPr>
        <w:t> </w:t>
      </w:r>
      <w:r w:rsidR="005C339E" w:rsidRPr="009B34CE">
        <w:rPr>
          <w:rFonts w:ascii="Arial" w:hAnsi="Arial" w:cs="Arial"/>
          <w:sz w:val="21"/>
          <w:szCs w:val="21"/>
          <w:lang w:val="en-US"/>
        </w:rPr>
        <w:t>EMU</w:t>
      </w:r>
      <w:r w:rsidR="005C339E">
        <w:rPr>
          <w:rStyle w:val="apple-converted-space"/>
          <w:rFonts w:ascii="Arial" w:hAnsi="Arial" w:cs="Arial"/>
          <w:color w:val="252525"/>
          <w:sz w:val="21"/>
          <w:szCs w:val="21"/>
          <w:lang w:val="en-US"/>
        </w:rPr>
        <w:t> </w:t>
      </w:r>
      <w:r w:rsidR="005C339E">
        <w:rPr>
          <w:rFonts w:ascii="Arial" w:hAnsi="Arial" w:cs="Arial"/>
          <w:color w:val="252525"/>
          <w:sz w:val="21"/>
          <w:szCs w:val="21"/>
          <w:lang w:val="en-US"/>
        </w:rPr>
        <w:t>(European Monetary Union) and it later, in 1999, qualified to enter the</w:t>
      </w:r>
      <w:r w:rsidR="009B34CE">
        <w:rPr>
          <w:rStyle w:val="apple-converted-space"/>
          <w:rFonts w:ascii="Arial" w:hAnsi="Arial" w:cs="Arial"/>
          <w:color w:val="252525"/>
          <w:sz w:val="21"/>
          <w:szCs w:val="21"/>
          <w:lang w:val="en-US"/>
        </w:rPr>
        <w:t xml:space="preserve"> eurozone</w:t>
      </w:r>
      <w:r w:rsidR="005C339E">
        <w:rPr>
          <w:rFonts w:ascii="Arial" w:hAnsi="Arial" w:cs="Arial"/>
          <w:color w:val="252525"/>
          <w:sz w:val="21"/>
          <w:szCs w:val="21"/>
          <w:lang w:val="en-US"/>
        </w:rPr>
        <w:t>. However, the main problem which plagued the 1990s, and still plagues the economy today, was tax evasion and underground "black market" business, whose value is an estimated 25% of the country's gross domestic product. Despite social and political attempts to make reduce the difference in wealth between the North and South, and Southern Italy's modernisation, the economic gap remained still pretty wide.</w:t>
      </w:r>
      <w:r w:rsidR="005C339E" w:rsidRPr="005C339E">
        <w:rPr>
          <w:rFonts w:ascii="Arial" w:hAnsi="Arial" w:cs="Arial"/>
          <w:color w:val="252525"/>
          <w:sz w:val="21"/>
          <w:szCs w:val="21"/>
          <w:lang w:val="en-US"/>
        </w:rPr>
        <w:t xml:space="preserve"> </w:t>
      </w:r>
    </w:p>
    <w:p w:rsidR="005C339E" w:rsidRPr="005C339E" w:rsidRDefault="003C26F7" w:rsidP="006A4EA7">
      <w:pPr>
        <w:pStyle w:val="NormalWeb"/>
        <w:shd w:val="clear" w:color="auto" w:fill="FFFFFF"/>
        <w:spacing w:before="120" w:beforeAutospacing="0" w:after="120" w:afterAutospacing="0" w:line="336" w:lineRule="atLeast"/>
        <w:ind w:left="-426" w:right="-625"/>
        <w:jc w:val="both"/>
        <w:rPr>
          <w:rFonts w:ascii="Arial" w:hAnsi="Arial" w:cs="Arial"/>
          <w:color w:val="252525"/>
          <w:sz w:val="21"/>
          <w:szCs w:val="21"/>
          <w:lang w:val="en-US"/>
        </w:rPr>
      </w:pPr>
      <w:r>
        <w:rPr>
          <w:rFonts w:ascii="Arial" w:hAnsi="Arial" w:cs="Arial"/>
          <w:color w:val="252525"/>
          <w:sz w:val="21"/>
          <w:szCs w:val="21"/>
          <w:lang w:val="en-US"/>
        </w:rPr>
        <w:t xml:space="preserve">   </w:t>
      </w:r>
      <w:r w:rsidR="005C339E">
        <w:rPr>
          <w:rFonts w:ascii="Arial" w:hAnsi="Arial" w:cs="Arial"/>
          <w:color w:val="252525"/>
          <w:sz w:val="21"/>
          <w:szCs w:val="21"/>
          <w:lang w:val="en-US"/>
        </w:rPr>
        <w:t>In the 1990s, and still today, Italy's strength was not the big enterprises or corporation, but small to middle-sized family owned businesses and industries, which mainly operated in the North-Western "economic/industrial triangle" (</w:t>
      </w:r>
      <w:r w:rsidR="005C339E" w:rsidRPr="009B34CE">
        <w:rPr>
          <w:rFonts w:ascii="Arial" w:hAnsi="Arial" w:cs="Arial"/>
          <w:sz w:val="21"/>
          <w:szCs w:val="21"/>
          <w:lang w:val="en-US"/>
        </w:rPr>
        <w:t>Milan</w:t>
      </w:r>
      <w:r w:rsidR="005C339E">
        <w:rPr>
          <w:rFonts w:ascii="Arial" w:hAnsi="Arial" w:cs="Arial"/>
          <w:color w:val="252525"/>
          <w:sz w:val="21"/>
          <w:szCs w:val="21"/>
          <w:lang w:val="en-US"/>
        </w:rPr>
        <w:t>-</w:t>
      </w:r>
      <w:r w:rsidR="005C339E" w:rsidRPr="009B34CE">
        <w:rPr>
          <w:rFonts w:ascii="Arial" w:hAnsi="Arial" w:cs="Arial"/>
          <w:sz w:val="21"/>
          <w:szCs w:val="21"/>
          <w:lang w:val="en-US"/>
        </w:rPr>
        <w:t>Turin</w:t>
      </w:r>
      <w:r w:rsidR="005C339E">
        <w:rPr>
          <w:rFonts w:ascii="Arial" w:hAnsi="Arial" w:cs="Arial"/>
          <w:color w:val="252525"/>
          <w:sz w:val="21"/>
          <w:szCs w:val="21"/>
          <w:lang w:val="en-US"/>
        </w:rPr>
        <w:t>-</w:t>
      </w:r>
      <w:r w:rsidR="005C339E" w:rsidRPr="009B34CE">
        <w:rPr>
          <w:rFonts w:ascii="Arial" w:hAnsi="Arial" w:cs="Arial"/>
          <w:sz w:val="21"/>
          <w:szCs w:val="21"/>
          <w:lang w:val="en-US"/>
        </w:rPr>
        <w:t>Genoa</w:t>
      </w:r>
      <w:r w:rsidR="005C339E">
        <w:rPr>
          <w:rFonts w:ascii="Arial" w:hAnsi="Arial" w:cs="Arial"/>
          <w:color w:val="252525"/>
          <w:sz w:val="21"/>
          <w:szCs w:val="21"/>
          <w:lang w:val="en-US"/>
        </w:rPr>
        <w:t>). Italy's companies are comparatively smaller than those of similar countries in size or of the EU, and rather than the common trend of less, yet bigger businesses, Italy concentrated on more, yet smaller enterprises. This can be seen in the fact, that the average workers per company in the country is of 3.6 employees (8.7 for industrial/manufacturing-orientated businesses), compared to the Western European Union average of 15 workers.</w:t>
      </w:r>
      <w:r w:rsidR="005C339E" w:rsidRPr="005C339E">
        <w:rPr>
          <w:rFonts w:ascii="Arial" w:hAnsi="Arial" w:cs="Arial"/>
          <w:color w:val="252525"/>
          <w:sz w:val="21"/>
          <w:szCs w:val="21"/>
          <w:lang w:val="en-US"/>
        </w:rPr>
        <w:t xml:space="preserve"> </w:t>
      </w:r>
    </w:p>
    <w:p w:rsidR="005C339E" w:rsidRDefault="003C26F7" w:rsidP="006A4EA7">
      <w:pPr>
        <w:pStyle w:val="NormalWeb"/>
        <w:shd w:val="clear" w:color="auto" w:fill="FFFFFF"/>
        <w:spacing w:before="120" w:beforeAutospacing="0" w:after="120" w:afterAutospacing="0" w:line="336" w:lineRule="atLeast"/>
        <w:ind w:left="-426" w:right="-625"/>
        <w:jc w:val="both"/>
        <w:rPr>
          <w:rFonts w:ascii="Arial" w:hAnsi="Arial" w:cs="Arial"/>
          <w:color w:val="252525"/>
          <w:sz w:val="21"/>
          <w:szCs w:val="21"/>
          <w:lang w:val="en-US"/>
        </w:rPr>
      </w:pPr>
      <w:r>
        <w:rPr>
          <w:rFonts w:ascii="Arial" w:hAnsi="Arial" w:cs="Arial"/>
          <w:color w:val="252525"/>
          <w:sz w:val="21"/>
          <w:szCs w:val="21"/>
          <w:lang w:val="en-US"/>
        </w:rPr>
        <w:t xml:space="preserve">   </w:t>
      </w:r>
      <w:r w:rsidR="005C339E">
        <w:rPr>
          <w:rFonts w:ascii="Arial" w:hAnsi="Arial" w:cs="Arial"/>
          <w:color w:val="252525"/>
          <w:sz w:val="21"/>
          <w:szCs w:val="21"/>
          <w:lang w:val="en-US"/>
        </w:rPr>
        <w:t>In the recent decades, however, Italy's economic growth has been particularly stagnant, with an average of 1.23% compared to an EU average of 2.28%. Previously, Italy's economy had accelerated from 0.7% growth in 1996 to 1.4% in 1999 and continued to rise to about 2.90% in 2000, which was closer to the EU projected growth rate of 3.10%.</w:t>
      </w:r>
    </w:p>
    <w:p w:rsidR="005C339E" w:rsidRDefault="005C339E" w:rsidP="006A4EA7">
      <w:pPr>
        <w:pStyle w:val="Heading2"/>
        <w:pageBreakBefore/>
        <w:pBdr>
          <w:bottom w:val="single" w:sz="6" w:space="0" w:color="AAAAAA"/>
        </w:pBdr>
        <w:shd w:val="clear" w:color="auto" w:fill="FFFFFF"/>
        <w:spacing w:before="240" w:after="60"/>
        <w:jc w:val="both"/>
        <w:rPr>
          <w:rFonts w:ascii="Georgia" w:hAnsi="Georgia"/>
          <w:b w:val="0"/>
          <w:bCs w:val="0"/>
          <w:color w:val="000000"/>
          <w:sz w:val="36"/>
          <w:szCs w:val="36"/>
          <w:lang w:val="en-US"/>
        </w:rPr>
      </w:pPr>
      <w:r>
        <w:rPr>
          <w:rStyle w:val="mw-headline"/>
          <w:rFonts w:ascii="Georgia" w:hAnsi="Georgia"/>
          <w:b w:val="0"/>
          <w:bCs w:val="0"/>
          <w:color w:val="000000"/>
        </w:rPr>
        <w:lastRenderedPageBreak/>
        <w:t>21st century</w:t>
      </w:r>
    </w:p>
    <w:p w:rsidR="005C339E" w:rsidRDefault="005C339E" w:rsidP="006A4EA7">
      <w:pPr>
        <w:shd w:val="clear" w:color="auto" w:fill="F9F9F9"/>
        <w:spacing w:line="336" w:lineRule="atLeast"/>
        <w:jc w:val="both"/>
        <w:rPr>
          <w:rFonts w:ascii="Arial" w:hAnsi="Arial" w:cs="Arial"/>
          <w:color w:val="252525"/>
          <w:sz w:val="20"/>
          <w:szCs w:val="20"/>
        </w:rPr>
      </w:pPr>
      <w:r>
        <w:rPr>
          <w:rFonts w:ascii="Arial" w:hAnsi="Arial" w:cs="Arial"/>
          <w:noProof/>
          <w:color w:val="0B0080"/>
          <w:sz w:val="20"/>
          <w:szCs w:val="20"/>
          <w:lang w:eastAsia="el-GR"/>
        </w:rPr>
        <w:drawing>
          <wp:inline distT="0" distB="0" distL="0" distR="0">
            <wp:extent cx="3810000" cy="1971675"/>
            <wp:effectExtent l="19050" t="0" r="0" b="0"/>
            <wp:docPr id="1" name="Εικόνα 1" descr="http://upload.wikimedia.org/wikipedia/commons/thumb/1/12/PIL_Italia_2000-2011.jpg/400px-PIL_Italia_2000-201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upload.wikimedia.org/wikipedia/commons/thumb/1/12/PIL_Italia_2000-2011.jpg/400px-PIL_Italia_2000-2011.jpg">
                      <a:hlinkClick r:id="rId8"/>
                    </pic:cNvPr>
                    <pic:cNvPicPr>
                      <a:picLocks noChangeAspect="1" noChangeArrowheads="1"/>
                    </pic:cNvPicPr>
                  </pic:nvPicPr>
                  <pic:blipFill>
                    <a:blip r:embed="rId9" cstate="print"/>
                    <a:srcRect/>
                    <a:stretch>
                      <a:fillRect/>
                    </a:stretch>
                  </pic:blipFill>
                  <pic:spPr bwMode="auto">
                    <a:xfrm>
                      <a:off x="0" y="0"/>
                      <a:ext cx="3810000" cy="1971675"/>
                    </a:xfrm>
                    <a:prstGeom prst="rect">
                      <a:avLst/>
                    </a:prstGeom>
                    <a:noFill/>
                    <a:ln w="9525">
                      <a:noFill/>
                      <a:miter lim="800000"/>
                      <a:headEnd/>
                      <a:tailEnd/>
                    </a:ln>
                  </pic:spPr>
                </pic:pic>
              </a:graphicData>
            </a:graphic>
          </wp:inline>
        </w:drawing>
      </w:r>
    </w:p>
    <w:p w:rsidR="005C339E" w:rsidRDefault="005C339E" w:rsidP="006A4EA7">
      <w:pPr>
        <w:shd w:val="clear" w:color="auto" w:fill="F9F9F9"/>
        <w:spacing w:line="336" w:lineRule="atLeast"/>
        <w:jc w:val="both"/>
        <w:rPr>
          <w:rFonts w:ascii="Arial" w:hAnsi="Arial" w:cs="Arial"/>
          <w:color w:val="252525"/>
          <w:sz w:val="18"/>
          <w:szCs w:val="18"/>
        </w:rPr>
      </w:pPr>
      <w:r>
        <w:rPr>
          <w:rFonts w:ascii="Arial" w:hAnsi="Arial" w:cs="Arial"/>
          <w:noProof/>
          <w:color w:val="0B0080"/>
          <w:sz w:val="18"/>
          <w:szCs w:val="18"/>
          <w:lang w:eastAsia="el-GR"/>
        </w:rPr>
        <w:drawing>
          <wp:inline distT="0" distB="0" distL="0" distR="0">
            <wp:extent cx="142875" cy="104775"/>
            <wp:effectExtent l="19050" t="0" r="9525" b="0"/>
            <wp:docPr id="2" name="Εικόνα 2" descr="http://bits.wikimedia.org/static-1.24wmf5/skins/common/images/magnify-clip.png">
              <a:hlinkClick xmlns:a="http://schemas.openxmlformats.org/drawingml/2006/main" r:id="rId8"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bits.wikimedia.org/static-1.24wmf5/skins/common/images/magnify-clip.png">
                      <a:hlinkClick r:id="rId8" tooltip="&quot;Enlarge&quot;"/>
                    </pic:cNvPr>
                    <pic:cNvPicPr>
                      <a:picLocks noChangeAspect="1" noChangeArrowheads="1"/>
                    </pic:cNvPicPr>
                  </pic:nvPicPr>
                  <pic:blipFill>
                    <a:blip r:embed="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5C339E" w:rsidRDefault="005C339E" w:rsidP="006A4EA7">
      <w:pPr>
        <w:shd w:val="clear" w:color="auto" w:fill="F9F9F9"/>
        <w:spacing w:line="336" w:lineRule="atLeast"/>
        <w:ind w:left="-567" w:right="-625"/>
        <w:jc w:val="both"/>
        <w:rPr>
          <w:rFonts w:ascii="Arial" w:hAnsi="Arial" w:cs="Arial"/>
          <w:color w:val="252525"/>
          <w:sz w:val="18"/>
          <w:szCs w:val="18"/>
          <w:lang w:val="en-US"/>
        </w:rPr>
      </w:pPr>
      <w:r>
        <w:rPr>
          <w:rFonts w:ascii="Arial" w:hAnsi="Arial" w:cs="Arial"/>
          <w:color w:val="252525"/>
          <w:sz w:val="18"/>
          <w:szCs w:val="18"/>
          <w:lang w:val="en-US"/>
        </w:rPr>
        <w:t>A graph showing Italy's GDP growth from 2000 to 2012 (including predictions of 2013) compared with EU's growth.</w:t>
      </w:r>
    </w:p>
    <w:p w:rsidR="005C339E" w:rsidRPr="006A4EA7" w:rsidRDefault="003C26F7" w:rsidP="006A4EA7">
      <w:pPr>
        <w:pStyle w:val="NormalWeb"/>
        <w:shd w:val="clear" w:color="auto" w:fill="FFFFFF"/>
        <w:spacing w:before="120" w:beforeAutospacing="0" w:after="120" w:afterAutospacing="0" w:line="336" w:lineRule="atLeast"/>
        <w:ind w:left="-567" w:right="-625"/>
        <w:jc w:val="both"/>
        <w:rPr>
          <w:rFonts w:ascii="Arial" w:hAnsi="Arial" w:cs="Arial"/>
          <w:color w:val="252525"/>
          <w:sz w:val="21"/>
          <w:szCs w:val="21"/>
          <w:lang w:val="en-US"/>
        </w:rPr>
      </w:pPr>
      <w:r>
        <w:rPr>
          <w:rFonts w:ascii="Arial" w:hAnsi="Arial" w:cs="Arial"/>
          <w:color w:val="252525"/>
          <w:sz w:val="21"/>
          <w:szCs w:val="21"/>
          <w:lang w:val="en-US"/>
        </w:rPr>
        <w:t xml:space="preserve">   </w:t>
      </w:r>
      <w:r w:rsidR="005C339E">
        <w:rPr>
          <w:rFonts w:ascii="Arial" w:hAnsi="Arial" w:cs="Arial"/>
          <w:color w:val="252525"/>
          <w:sz w:val="21"/>
          <w:szCs w:val="21"/>
          <w:lang w:val="en-US"/>
        </w:rPr>
        <w:t>Italy's economy in the 21st century has been mixed, experiencing both relative economic growth and stagnation, recession and stability. As of the</w:t>
      </w:r>
      <w:r w:rsidR="005C339E">
        <w:rPr>
          <w:rStyle w:val="apple-converted-space"/>
          <w:rFonts w:ascii="Arial" w:hAnsi="Arial" w:cs="Arial"/>
          <w:color w:val="252525"/>
          <w:sz w:val="21"/>
          <w:szCs w:val="21"/>
          <w:lang w:val="en-US"/>
        </w:rPr>
        <w:t> </w:t>
      </w:r>
      <w:r w:rsidR="005C339E" w:rsidRPr="009B34CE">
        <w:rPr>
          <w:rFonts w:ascii="Arial" w:hAnsi="Arial" w:cs="Arial"/>
          <w:sz w:val="21"/>
          <w:szCs w:val="21"/>
          <w:lang w:val="en-US"/>
        </w:rPr>
        <w:t>late 2000s recession</w:t>
      </w:r>
      <w:r w:rsidR="005C339E">
        <w:rPr>
          <w:rFonts w:ascii="Arial" w:hAnsi="Arial" w:cs="Arial"/>
          <w:color w:val="252525"/>
          <w:sz w:val="21"/>
          <w:szCs w:val="21"/>
          <w:lang w:val="en-US"/>
        </w:rPr>
        <w:t>, more notably the</w:t>
      </w:r>
      <w:r w:rsidR="005C339E">
        <w:rPr>
          <w:rStyle w:val="apple-converted-space"/>
          <w:rFonts w:ascii="Arial" w:hAnsi="Arial" w:cs="Arial"/>
          <w:color w:val="252525"/>
          <w:sz w:val="21"/>
          <w:szCs w:val="21"/>
          <w:lang w:val="en-US"/>
        </w:rPr>
        <w:t> </w:t>
      </w:r>
      <w:r w:rsidR="005C339E" w:rsidRPr="009B34CE">
        <w:rPr>
          <w:rFonts w:ascii="Arial" w:hAnsi="Arial" w:cs="Arial"/>
          <w:sz w:val="21"/>
          <w:szCs w:val="21"/>
          <w:lang w:val="en-US"/>
        </w:rPr>
        <w:t>2008 recession</w:t>
      </w:r>
      <w:r w:rsidR="005C339E">
        <w:rPr>
          <w:rStyle w:val="apple-converted-space"/>
          <w:rFonts w:ascii="Arial" w:hAnsi="Arial" w:cs="Arial"/>
          <w:color w:val="252525"/>
          <w:sz w:val="21"/>
          <w:szCs w:val="21"/>
          <w:lang w:val="en-US"/>
        </w:rPr>
        <w:t> </w:t>
      </w:r>
      <w:r w:rsidR="005C339E">
        <w:rPr>
          <w:rFonts w:ascii="Arial" w:hAnsi="Arial" w:cs="Arial"/>
          <w:color w:val="252525"/>
          <w:sz w:val="21"/>
          <w:szCs w:val="21"/>
          <w:lang w:val="en-US"/>
        </w:rPr>
        <w:t>and the</w:t>
      </w:r>
      <w:r w:rsidR="005C339E" w:rsidRPr="009B34CE">
        <w:rPr>
          <w:rFonts w:ascii="Arial" w:hAnsi="Arial" w:cs="Arial"/>
          <w:sz w:val="21"/>
          <w:szCs w:val="21"/>
          <w:lang w:val="en-US"/>
        </w:rPr>
        <w:t>2009 recession</w:t>
      </w:r>
      <w:r w:rsidR="005C339E">
        <w:rPr>
          <w:rFonts w:ascii="Arial" w:hAnsi="Arial" w:cs="Arial"/>
          <w:color w:val="252525"/>
          <w:sz w:val="21"/>
          <w:szCs w:val="21"/>
          <w:lang w:val="en-US"/>
        </w:rPr>
        <w:t>, Italy was one of the few countries whose economy did not contract dramatically, and kept a relatively stable economic growth, yet figures for economic growth in 2009 and 2010 have showed a negative average, ranging from around -1% to -5%.</w:t>
      </w:r>
      <w:r w:rsidR="005C339E">
        <w:rPr>
          <w:lang w:val="en-US"/>
        </w:rPr>
        <w:t xml:space="preserve"> </w:t>
      </w:r>
      <w:r w:rsidR="005C339E">
        <w:rPr>
          <w:rFonts w:ascii="Arial" w:hAnsi="Arial" w:cs="Arial"/>
          <w:color w:val="252525"/>
          <w:sz w:val="21"/>
          <w:szCs w:val="21"/>
          <w:lang w:val="en-US"/>
        </w:rPr>
        <w:t>The late-first decade of the 21st century recession has also gripped Italy; car sales in Italy have fallen by almost 20 percent over each of the past two months. Italy's car workers' union said; "The situation is evidently more serious than had been understood."</w:t>
      </w:r>
      <w:r w:rsidR="005C339E">
        <w:rPr>
          <w:lang w:val="en-US"/>
        </w:rPr>
        <w:t xml:space="preserve"> </w:t>
      </w:r>
      <w:r w:rsidR="005C339E">
        <w:rPr>
          <w:rFonts w:ascii="Arial" w:hAnsi="Arial" w:cs="Arial"/>
          <w:color w:val="252525"/>
          <w:sz w:val="21"/>
          <w:szCs w:val="21"/>
          <w:lang w:val="en-US"/>
        </w:rPr>
        <w:t xml:space="preserve"> On 10 July 2008 economic think tank ISAE lowered its growth forecast for Italy to 0.4 percent from 0.5 percent and cut the 2009 outlook to 0.7 percent from 1.2 percent.</w:t>
      </w:r>
      <w:r w:rsidR="005C339E">
        <w:rPr>
          <w:lang w:val="en-US"/>
        </w:rPr>
        <w:t xml:space="preserve"> </w:t>
      </w:r>
      <w:r w:rsidR="005C339E">
        <w:rPr>
          <w:rFonts w:ascii="Arial" w:hAnsi="Arial" w:cs="Arial"/>
          <w:color w:val="252525"/>
          <w:sz w:val="21"/>
          <w:szCs w:val="21"/>
          <w:lang w:val="en-US"/>
        </w:rPr>
        <w:t xml:space="preserve"> Analysts have predicted Italy had entered a recession in the second quarter or would enter one by the end of the year with business confidence at its lowest levels since the</w:t>
      </w:r>
      <w:r w:rsidR="005C339E">
        <w:rPr>
          <w:rStyle w:val="apple-converted-space"/>
          <w:rFonts w:ascii="Arial" w:hAnsi="Arial" w:cs="Arial"/>
          <w:color w:val="252525"/>
          <w:sz w:val="21"/>
          <w:szCs w:val="21"/>
          <w:lang w:val="en-US"/>
        </w:rPr>
        <w:t> </w:t>
      </w:r>
      <w:r w:rsidR="005C339E" w:rsidRPr="009B34CE">
        <w:rPr>
          <w:rFonts w:ascii="Arial" w:hAnsi="Arial" w:cs="Arial"/>
          <w:sz w:val="21"/>
          <w:szCs w:val="21"/>
          <w:lang w:val="en-US"/>
        </w:rPr>
        <w:t>September 11 attacks</w:t>
      </w:r>
      <w:r w:rsidR="005C339E">
        <w:rPr>
          <w:rFonts w:ascii="Arial" w:hAnsi="Arial" w:cs="Arial"/>
          <w:color w:val="252525"/>
          <w:sz w:val="21"/>
          <w:szCs w:val="21"/>
          <w:lang w:val="en-US"/>
        </w:rPr>
        <w:t>.</w:t>
      </w:r>
      <w:r w:rsidR="006A4EA7">
        <w:rPr>
          <w:rFonts w:ascii="Arial" w:hAnsi="Arial" w:cs="Arial"/>
          <w:color w:val="252525"/>
          <w:sz w:val="21"/>
          <w:szCs w:val="21"/>
          <w:lang w:val="en-US"/>
        </w:rPr>
        <w:t xml:space="preserve"> </w:t>
      </w:r>
      <w:r w:rsidR="005C339E">
        <w:rPr>
          <w:rFonts w:ascii="Arial" w:hAnsi="Arial" w:cs="Arial"/>
          <w:color w:val="252525"/>
          <w:sz w:val="21"/>
          <w:szCs w:val="21"/>
          <w:lang w:val="en-US"/>
        </w:rPr>
        <w:t>Italy's economy contracted by 0.3 percent in the second quarter of 2008.</w:t>
      </w:r>
      <w:r w:rsidR="006A4EA7" w:rsidRPr="006A4EA7">
        <w:rPr>
          <w:rFonts w:ascii="Arial" w:hAnsi="Arial" w:cs="Arial"/>
          <w:color w:val="252525"/>
          <w:sz w:val="21"/>
          <w:szCs w:val="21"/>
          <w:lang w:val="en-US"/>
        </w:rPr>
        <w:t xml:space="preserve"> </w:t>
      </w:r>
    </w:p>
    <w:p w:rsidR="005C339E" w:rsidRPr="006A4EA7" w:rsidRDefault="005C339E" w:rsidP="006A4EA7">
      <w:pPr>
        <w:pStyle w:val="NormalWeb"/>
        <w:shd w:val="clear" w:color="auto" w:fill="FFFFFF"/>
        <w:spacing w:before="120" w:beforeAutospacing="0" w:after="120" w:afterAutospacing="0" w:line="336" w:lineRule="atLeast"/>
        <w:ind w:left="-567" w:right="-625"/>
        <w:jc w:val="both"/>
        <w:rPr>
          <w:rFonts w:ascii="Arial" w:hAnsi="Arial" w:cs="Arial"/>
          <w:color w:val="252525"/>
          <w:sz w:val="21"/>
          <w:szCs w:val="21"/>
          <w:lang w:val="en-US"/>
        </w:rPr>
      </w:pPr>
      <w:r>
        <w:rPr>
          <w:rFonts w:ascii="Arial" w:hAnsi="Arial" w:cs="Arial"/>
          <w:color w:val="252525"/>
          <w:sz w:val="21"/>
          <w:szCs w:val="21"/>
          <w:lang w:val="en-US"/>
        </w:rPr>
        <w:t>In the 4 quarters of 2006, Italy's growth rates were approximately these: +0.6% in the Q1, +0.6% in the Q2, +0.65% in the Q3, and +1% in the Q4.</w:t>
      </w:r>
      <w:r w:rsidR="006A4EA7" w:rsidRPr="006A4EA7">
        <w:rPr>
          <w:rFonts w:ascii="Arial" w:hAnsi="Arial" w:cs="Arial"/>
          <w:color w:val="252525"/>
          <w:sz w:val="21"/>
          <w:szCs w:val="21"/>
          <w:lang w:val="en-US"/>
        </w:rPr>
        <w:t xml:space="preserve"> </w:t>
      </w:r>
    </w:p>
    <w:p w:rsidR="005C339E" w:rsidRPr="006A4EA7" w:rsidRDefault="003C26F7" w:rsidP="006A4EA7">
      <w:pPr>
        <w:pStyle w:val="NormalWeb"/>
        <w:shd w:val="clear" w:color="auto" w:fill="FFFFFF"/>
        <w:spacing w:before="120" w:beforeAutospacing="0" w:after="120" w:afterAutospacing="0" w:line="336" w:lineRule="atLeast"/>
        <w:ind w:left="-567" w:right="-625"/>
        <w:jc w:val="both"/>
        <w:rPr>
          <w:rFonts w:ascii="Arial" w:hAnsi="Arial" w:cs="Arial"/>
          <w:color w:val="252525"/>
          <w:sz w:val="21"/>
          <w:szCs w:val="21"/>
          <w:lang w:val="en-US"/>
        </w:rPr>
      </w:pPr>
      <w:r>
        <w:rPr>
          <w:rFonts w:ascii="Arial" w:hAnsi="Arial" w:cs="Arial"/>
          <w:color w:val="252525"/>
          <w:sz w:val="21"/>
          <w:szCs w:val="21"/>
          <w:lang w:val="en-US"/>
        </w:rPr>
        <w:t xml:space="preserve">   </w:t>
      </w:r>
      <w:r w:rsidR="005C339E">
        <w:rPr>
          <w:rFonts w:ascii="Arial" w:hAnsi="Arial" w:cs="Arial"/>
          <w:color w:val="252525"/>
          <w:sz w:val="21"/>
          <w:szCs w:val="21"/>
          <w:lang w:val="en-US"/>
        </w:rPr>
        <w:t>Similarly, in 2007's 4 quarters, these were the figures: +0.25% in the Q1, +0.1% in the Q2, +0.2% in the Q3, and -0.5% in the Q4.</w:t>
      </w:r>
      <w:r w:rsidR="006A4EA7" w:rsidRPr="006A4EA7">
        <w:rPr>
          <w:rFonts w:ascii="Arial" w:hAnsi="Arial" w:cs="Arial"/>
          <w:color w:val="252525"/>
          <w:sz w:val="21"/>
          <w:szCs w:val="21"/>
          <w:lang w:val="en-US"/>
        </w:rPr>
        <w:t xml:space="preserve"> </w:t>
      </w:r>
    </w:p>
    <w:p w:rsidR="005C339E" w:rsidRPr="006A4EA7" w:rsidRDefault="003C26F7" w:rsidP="006A4EA7">
      <w:pPr>
        <w:pStyle w:val="NormalWeb"/>
        <w:shd w:val="clear" w:color="auto" w:fill="FFFFFF"/>
        <w:spacing w:before="120" w:beforeAutospacing="0" w:after="120" w:afterAutospacing="0" w:line="336" w:lineRule="atLeast"/>
        <w:ind w:left="-567" w:right="-625"/>
        <w:jc w:val="both"/>
        <w:rPr>
          <w:rFonts w:ascii="Arial" w:hAnsi="Arial" w:cs="Arial"/>
          <w:color w:val="252525"/>
          <w:sz w:val="21"/>
          <w:szCs w:val="21"/>
          <w:lang w:val="en-US"/>
        </w:rPr>
      </w:pPr>
      <w:r>
        <w:rPr>
          <w:rFonts w:ascii="Arial" w:hAnsi="Arial" w:cs="Arial"/>
          <w:color w:val="252525"/>
          <w:sz w:val="21"/>
          <w:szCs w:val="21"/>
          <w:lang w:val="en-US"/>
        </w:rPr>
        <w:t xml:space="preserve">   </w:t>
      </w:r>
      <w:r w:rsidR="005C339E">
        <w:rPr>
          <w:rFonts w:ascii="Arial" w:hAnsi="Arial" w:cs="Arial"/>
          <w:color w:val="252525"/>
          <w:sz w:val="21"/>
          <w:szCs w:val="21"/>
          <w:lang w:val="en-US"/>
        </w:rPr>
        <w:t>In the 4 of 2008's quarters, the results, mainly negative, were these: +0.5% in the Q1, -0.6% in the Q2, -0.65% in the Q3 and -2.2% in the Q4.</w:t>
      </w:r>
      <w:r w:rsidR="006A4EA7" w:rsidRPr="006A4EA7">
        <w:rPr>
          <w:rFonts w:ascii="Arial" w:hAnsi="Arial" w:cs="Arial"/>
          <w:color w:val="252525"/>
          <w:sz w:val="21"/>
          <w:szCs w:val="21"/>
          <w:lang w:val="en-US"/>
        </w:rPr>
        <w:t xml:space="preserve"> </w:t>
      </w:r>
    </w:p>
    <w:p w:rsidR="005C339E" w:rsidRPr="006A4EA7" w:rsidRDefault="003C26F7" w:rsidP="006A4EA7">
      <w:pPr>
        <w:pStyle w:val="NormalWeb"/>
        <w:shd w:val="clear" w:color="auto" w:fill="FFFFFF"/>
        <w:spacing w:before="120" w:beforeAutospacing="0" w:after="120" w:afterAutospacing="0" w:line="336" w:lineRule="atLeast"/>
        <w:ind w:left="-567" w:right="-625"/>
        <w:jc w:val="both"/>
        <w:rPr>
          <w:rFonts w:ascii="Arial" w:hAnsi="Arial" w:cs="Arial"/>
          <w:color w:val="252525"/>
          <w:sz w:val="21"/>
          <w:szCs w:val="21"/>
          <w:lang w:val="en-US"/>
        </w:rPr>
      </w:pPr>
      <w:r>
        <w:rPr>
          <w:rFonts w:ascii="Arial" w:hAnsi="Arial" w:cs="Arial"/>
          <w:color w:val="252525"/>
          <w:sz w:val="21"/>
          <w:szCs w:val="21"/>
          <w:lang w:val="en-US"/>
        </w:rPr>
        <w:t xml:space="preserve">   </w:t>
      </w:r>
      <w:r w:rsidR="005C339E">
        <w:rPr>
          <w:rFonts w:ascii="Arial" w:hAnsi="Arial" w:cs="Arial"/>
          <w:color w:val="252525"/>
          <w:sz w:val="21"/>
          <w:szCs w:val="21"/>
          <w:lang w:val="en-US"/>
        </w:rPr>
        <w:t>In the Q1 (1st quarter) of 2009, Italy's economy contracted by 4.9%, a greater contraction than the predictions of the</w:t>
      </w:r>
      <w:r w:rsidR="005C339E">
        <w:rPr>
          <w:rStyle w:val="apple-converted-space"/>
          <w:rFonts w:ascii="Arial" w:hAnsi="Arial" w:cs="Arial"/>
          <w:color w:val="252525"/>
          <w:sz w:val="21"/>
          <w:szCs w:val="21"/>
          <w:lang w:val="en-US"/>
        </w:rPr>
        <w:t> </w:t>
      </w:r>
      <w:r w:rsidR="005C339E" w:rsidRPr="009B34CE">
        <w:rPr>
          <w:rFonts w:ascii="Arial" w:hAnsi="Arial" w:cs="Arial"/>
          <w:sz w:val="21"/>
          <w:szCs w:val="21"/>
          <w:lang w:val="en-US"/>
        </w:rPr>
        <w:t>Italian government</w:t>
      </w:r>
      <w:r w:rsidR="005C339E">
        <w:rPr>
          <w:rFonts w:ascii="Arial" w:hAnsi="Arial" w:cs="Arial"/>
          <w:color w:val="252525"/>
          <w:sz w:val="21"/>
          <w:szCs w:val="21"/>
          <w:lang w:val="en-US"/>
        </w:rPr>
        <w:t>, which believed that it would be of at most 4.8%.</w:t>
      </w:r>
      <w:r w:rsidR="006A4EA7">
        <w:rPr>
          <w:rStyle w:val="apple-converted-space"/>
          <w:rFonts w:ascii="Arial" w:hAnsi="Arial" w:cs="Arial"/>
          <w:color w:val="252525"/>
          <w:sz w:val="21"/>
          <w:szCs w:val="21"/>
          <w:lang w:val="en-US"/>
        </w:rPr>
        <w:t xml:space="preserve"> </w:t>
      </w:r>
      <w:r w:rsidR="005C339E">
        <w:rPr>
          <w:rFonts w:ascii="Arial" w:hAnsi="Arial" w:cs="Arial"/>
          <w:color w:val="252525"/>
          <w:sz w:val="21"/>
          <w:szCs w:val="21"/>
          <w:lang w:val="en-US"/>
        </w:rPr>
        <w:t>The Q2 (2nd quarter) saw a smaller decrease in GDP, more or less that of -1%, and by the Q3 (3rd quarter), the economy began to re-grow slightly, with GDP increase rates of about +0.2% to +0.6%. Yet, in the Q4 (4th quarter) of the year 2009, Italy's GDP growth was of -0.2%.</w:t>
      </w:r>
    </w:p>
    <w:p w:rsidR="005341F4" w:rsidRDefault="003C26F7" w:rsidP="006A4EA7">
      <w:pPr>
        <w:pStyle w:val="NormalWeb"/>
        <w:shd w:val="clear" w:color="auto" w:fill="FFFFFF"/>
        <w:spacing w:before="120" w:beforeAutospacing="0" w:after="120" w:afterAutospacing="0" w:line="336" w:lineRule="atLeast"/>
        <w:ind w:left="-567" w:right="-625"/>
        <w:jc w:val="both"/>
        <w:rPr>
          <w:rFonts w:ascii="Arial" w:hAnsi="Arial" w:cs="Arial"/>
          <w:color w:val="252525"/>
          <w:sz w:val="21"/>
          <w:szCs w:val="21"/>
          <w:lang w:val="en-US"/>
        </w:rPr>
      </w:pPr>
      <w:r>
        <w:rPr>
          <w:lang w:val="en-US"/>
        </w:rPr>
        <w:t xml:space="preserve">   </w:t>
      </w:r>
      <w:r w:rsidR="005C339E" w:rsidRPr="009B34CE">
        <w:rPr>
          <w:rFonts w:ascii="Arial" w:hAnsi="Arial" w:cs="Arial"/>
          <w:sz w:val="21"/>
          <w:szCs w:val="21"/>
          <w:lang w:val="en-US"/>
        </w:rPr>
        <w:t>ISTAT</w:t>
      </w:r>
      <w:r w:rsidR="005C339E">
        <w:rPr>
          <w:rStyle w:val="apple-converted-space"/>
          <w:rFonts w:ascii="Arial" w:hAnsi="Arial" w:cs="Arial"/>
          <w:color w:val="252525"/>
          <w:sz w:val="21"/>
          <w:szCs w:val="21"/>
          <w:lang w:val="en-US"/>
        </w:rPr>
        <w:t> </w:t>
      </w:r>
      <w:r w:rsidR="005C339E">
        <w:rPr>
          <w:rFonts w:ascii="Arial" w:hAnsi="Arial" w:cs="Arial"/>
          <w:color w:val="252525"/>
          <w:sz w:val="21"/>
          <w:szCs w:val="21"/>
          <w:lang w:val="en-US"/>
        </w:rPr>
        <w:t>predicts that Italy's falling economic growth rate is due to a general decrease in the country's industrial production and exports.</w:t>
      </w:r>
      <w:r w:rsidR="006A4EA7">
        <w:rPr>
          <w:lang w:val="en-US"/>
        </w:rPr>
        <w:t xml:space="preserve"> </w:t>
      </w:r>
      <w:r w:rsidR="005C339E">
        <w:rPr>
          <w:rFonts w:ascii="Arial" w:hAnsi="Arial" w:cs="Arial"/>
          <w:color w:val="252525"/>
          <w:sz w:val="21"/>
          <w:szCs w:val="21"/>
          <w:lang w:val="en-US"/>
        </w:rPr>
        <w:t>However, the Government of Italy believes that 2010 and beyond will bring higher growth rates: anything from circa +0.7% - +1.1%.</w:t>
      </w:r>
    </w:p>
    <w:p w:rsidR="00570223" w:rsidRPr="00570223" w:rsidRDefault="00570223" w:rsidP="00570223">
      <w:pPr>
        <w:pStyle w:val="Heading2"/>
        <w:pBdr>
          <w:bottom w:val="single" w:sz="6" w:space="0" w:color="AAAAAA"/>
        </w:pBdr>
        <w:shd w:val="clear" w:color="auto" w:fill="FFFFFF"/>
        <w:spacing w:before="240" w:after="60"/>
        <w:rPr>
          <w:rFonts w:ascii="Georgia" w:hAnsi="Georgia"/>
          <w:b w:val="0"/>
          <w:bCs w:val="0"/>
          <w:color w:val="000000"/>
          <w:lang w:val="en-US"/>
        </w:rPr>
      </w:pPr>
      <w:r w:rsidRPr="00570223">
        <w:rPr>
          <w:rStyle w:val="mw-headline"/>
          <w:rFonts w:ascii="Georgia" w:hAnsi="Georgia"/>
          <w:b w:val="0"/>
          <w:bCs w:val="0"/>
          <w:color w:val="000000"/>
          <w:lang w:val="en-US"/>
        </w:rPr>
        <w:lastRenderedPageBreak/>
        <w:t>GDP (PPP) growth</w:t>
      </w:r>
    </w:p>
    <w:p w:rsidR="00570223" w:rsidRPr="00570223" w:rsidRDefault="00570223" w:rsidP="00570223">
      <w:pPr>
        <w:pStyle w:val="NormalWeb"/>
        <w:shd w:val="clear" w:color="auto" w:fill="FFFFFF"/>
        <w:spacing w:before="120" w:beforeAutospacing="0" w:after="120" w:afterAutospacing="0" w:line="336" w:lineRule="atLeast"/>
        <w:rPr>
          <w:rFonts w:ascii="Arial" w:hAnsi="Arial" w:cs="Arial"/>
          <w:color w:val="252525"/>
          <w:sz w:val="21"/>
          <w:szCs w:val="21"/>
          <w:lang w:val="en-US"/>
        </w:rPr>
      </w:pPr>
      <w:r w:rsidRPr="00570223">
        <w:rPr>
          <w:rFonts w:ascii="Arial" w:hAnsi="Arial" w:cs="Arial"/>
          <w:color w:val="252525"/>
          <w:sz w:val="21"/>
          <w:szCs w:val="21"/>
          <w:lang w:val="en-US"/>
        </w:rPr>
        <w:t>A table showing the growth of Italy's</w:t>
      </w:r>
      <w:r w:rsidRPr="00570223">
        <w:rPr>
          <w:rStyle w:val="apple-converted-space"/>
          <w:rFonts w:ascii="Arial" w:eastAsia="Calibri" w:hAnsi="Arial" w:cs="Arial"/>
          <w:color w:val="252525"/>
          <w:sz w:val="21"/>
          <w:szCs w:val="21"/>
          <w:lang w:val="en-US"/>
        </w:rPr>
        <w:t> </w:t>
      </w:r>
      <w:r w:rsidRPr="00570223">
        <w:rPr>
          <w:rFonts w:ascii="Arial" w:hAnsi="Arial" w:cs="Arial"/>
          <w:color w:val="252525"/>
          <w:sz w:val="21"/>
          <w:szCs w:val="21"/>
          <w:lang w:val="en-US"/>
        </w:rPr>
        <w:t>GDP</w:t>
      </w:r>
      <w:r w:rsidRPr="00570223">
        <w:rPr>
          <w:rStyle w:val="apple-converted-space"/>
          <w:rFonts w:ascii="Arial" w:eastAsia="Calibri" w:hAnsi="Arial" w:cs="Arial"/>
          <w:color w:val="252525"/>
          <w:sz w:val="21"/>
          <w:szCs w:val="21"/>
          <w:lang w:val="en-US"/>
        </w:rPr>
        <w:t> </w:t>
      </w:r>
      <w:r w:rsidRPr="00570223">
        <w:rPr>
          <w:rFonts w:ascii="Arial" w:hAnsi="Arial" w:cs="Arial"/>
          <w:color w:val="252525"/>
          <w:sz w:val="21"/>
          <w:szCs w:val="21"/>
          <w:lang w:val="en-US"/>
        </w:rPr>
        <w:t>(PPP) growth from 2000 to 2008</w:t>
      </w:r>
    </w:p>
    <w:tbl>
      <w:tblPr>
        <w:tblW w:w="11640" w:type="dxa"/>
        <w:jc w:val="center"/>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294"/>
        <w:gridCol w:w="1294"/>
        <w:gridCol w:w="1294"/>
        <w:gridCol w:w="1293"/>
        <w:gridCol w:w="1293"/>
        <w:gridCol w:w="1293"/>
        <w:gridCol w:w="1293"/>
        <w:gridCol w:w="1293"/>
        <w:gridCol w:w="1293"/>
      </w:tblGrid>
      <w:tr w:rsidR="00570223" w:rsidTr="00570223">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570223" w:rsidRDefault="00570223">
            <w:pPr>
              <w:spacing w:before="240" w:after="240"/>
              <w:jc w:val="center"/>
              <w:rPr>
                <w:b/>
                <w:bCs/>
                <w:color w:val="000000"/>
                <w:sz w:val="20"/>
                <w:szCs w:val="20"/>
              </w:rPr>
            </w:pPr>
            <w:r>
              <w:rPr>
                <w:b/>
                <w:bCs/>
                <w:color w:val="000000"/>
                <w:sz w:val="20"/>
                <w:szCs w:val="20"/>
              </w:rPr>
              <w:t>2000</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570223" w:rsidRDefault="00570223">
            <w:pPr>
              <w:spacing w:before="240" w:after="240"/>
              <w:jc w:val="center"/>
              <w:rPr>
                <w:b/>
                <w:bCs/>
                <w:color w:val="000000"/>
                <w:sz w:val="20"/>
                <w:szCs w:val="20"/>
              </w:rPr>
            </w:pPr>
            <w:r>
              <w:rPr>
                <w:b/>
                <w:bCs/>
                <w:color w:val="000000"/>
                <w:sz w:val="20"/>
                <w:szCs w:val="20"/>
              </w:rPr>
              <w:t>2001</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570223" w:rsidRDefault="00570223">
            <w:pPr>
              <w:spacing w:before="240" w:after="240"/>
              <w:jc w:val="center"/>
              <w:rPr>
                <w:b/>
                <w:bCs/>
                <w:color w:val="000000"/>
                <w:sz w:val="20"/>
                <w:szCs w:val="20"/>
              </w:rPr>
            </w:pPr>
            <w:r>
              <w:rPr>
                <w:b/>
                <w:bCs/>
                <w:color w:val="000000"/>
                <w:sz w:val="20"/>
                <w:szCs w:val="20"/>
              </w:rPr>
              <w:t>2002</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570223" w:rsidRDefault="00570223">
            <w:pPr>
              <w:spacing w:before="240" w:after="240"/>
              <w:jc w:val="center"/>
              <w:rPr>
                <w:b/>
                <w:bCs/>
                <w:color w:val="000000"/>
                <w:sz w:val="20"/>
                <w:szCs w:val="20"/>
              </w:rPr>
            </w:pPr>
            <w:r>
              <w:rPr>
                <w:b/>
                <w:bCs/>
                <w:color w:val="000000"/>
                <w:sz w:val="20"/>
                <w:szCs w:val="20"/>
              </w:rPr>
              <w:t>2003</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570223" w:rsidRDefault="00570223">
            <w:pPr>
              <w:spacing w:before="240" w:after="240"/>
              <w:jc w:val="center"/>
              <w:rPr>
                <w:b/>
                <w:bCs/>
                <w:color w:val="000000"/>
                <w:sz w:val="20"/>
                <w:szCs w:val="20"/>
              </w:rPr>
            </w:pPr>
            <w:r>
              <w:rPr>
                <w:b/>
                <w:bCs/>
                <w:color w:val="000000"/>
                <w:sz w:val="20"/>
                <w:szCs w:val="20"/>
              </w:rPr>
              <w:t>2004</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570223" w:rsidRDefault="00570223">
            <w:pPr>
              <w:spacing w:before="240" w:after="240"/>
              <w:jc w:val="center"/>
              <w:rPr>
                <w:b/>
                <w:bCs/>
                <w:color w:val="000000"/>
                <w:sz w:val="20"/>
                <w:szCs w:val="20"/>
              </w:rPr>
            </w:pPr>
            <w:r>
              <w:rPr>
                <w:b/>
                <w:bCs/>
                <w:color w:val="000000"/>
                <w:sz w:val="20"/>
                <w:szCs w:val="20"/>
              </w:rPr>
              <w:t>2005</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570223" w:rsidRDefault="00570223">
            <w:pPr>
              <w:spacing w:before="240" w:after="240"/>
              <w:jc w:val="center"/>
              <w:rPr>
                <w:b/>
                <w:bCs/>
                <w:color w:val="000000"/>
                <w:sz w:val="20"/>
                <w:szCs w:val="20"/>
              </w:rPr>
            </w:pPr>
            <w:r>
              <w:rPr>
                <w:b/>
                <w:bCs/>
                <w:color w:val="000000"/>
                <w:sz w:val="20"/>
                <w:szCs w:val="20"/>
              </w:rPr>
              <w:t>2006</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570223" w:rsidRDefault="00570223">
            <w:pPr>
              <w:spacing w:before="240" w:after="240"/>
              <w:jc w:val="center"/>
              <w:rPr>
                <w:b/>
                <w:bCs/>
                <w:color w:val="000000"/>
                <w:sz w:val="20"/>
                <w:szCs w:val="20"/>
              </w:rPr>
            </w:pPr>
            <w:r>
              <w:rPr>
                <w:b/>
                <w:bCs/>
                <w:color w:val="000000"/>
                <w:sz w:val="20"/>
                <w:szCs w:val="20"/>
              </w:rPr>
              <w:t>2007</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570223" w:rsidRDefault="00570223">
            <w:pPr>
              <w:spacing w:before="240" w:after="240"/>
              <w:jc w:val="center"/>
              <w:rPr>
                <w:b/>
                <w:bCs/>
                <w:color w:val="000000"/>
                <w:sz w:val="20"/>
                <w:szCs w:val="20"/>
              </w:rPr>
            </w:pPr>
            <w:r>
              <w:rPr>
                <w:b/>
                <w:bCs/>
                <w:color w:val="000000"/>
                <w:sz w:val="20"/>
                <w:szCs w:val="20"/>
              </w:rPr>
              <w:t>2008</w:t>
            </w:r>
          </w:p>
        </w:tc>
      </w:tr>
      <w:tr w:rsidR="00570223" w:rsidTr="00570223">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center"/>
              <w:rPr>
                <w:color w:val="000000"/>
                <w:sz w:val="20"/>
                <w:szCs w:val="20"/>
              </w:rPr>
            </w:pPr>
            <w:r>
              <w:rPr>
                <w:color w:val="000000"/>
                <w:sz w:val="20"/>
                <w:szCs w:val="20"/>
              </w:rPr>
              <w:t>1,191,056.7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center"/>
              <w:rPr>
                <w:color w:val="000000"/>
                <w:sz w:val="20"/>
                <w:szCs w:val="20"/>
              </w:rPr>
            </w:pPr>
            <w:r>
              <w:rPr>
                <w:color w:val="000000"/>
                <w:sz w:val="20"/>
                <w:szCs w:val="20"/>
              </w:rPr>
              <w:t>1,248,648.1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center"/>
              <w:rPr>
                <w:color w:val="000000"/>
                <w:sz w:val="20"/>
                <w:szCs w:val="20"/>
              </w:rPr>
            </w:pPr>
            <w:r>
              <w:rPr>
                <w:color w:val="000000"/>
                <w:sz w:val="20"/>
                <w:szCs w:val="20"/>
              </w:rPr>
              <w:t>1,295,225.7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center"/>
              <w:rPr>
                <w:color w:val="000000"/>
                <w:sz w:val="20"/>
                <w:szCs w:val="20"/>
              </w:rPr>
            </w:pPr>
            <w:r>
              <w:rPr>
                <w:color w:val="000000"/>
                <w:sz w:val="20"/>
                <w:szCs w:val="20"/>
              </w:rPr>
              <w:t>1,335,353.7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center"/>
              <w:rPr>
                <w:color w:val="000000"/>
                <w:sz w:val="20"/>
                <w:szCs w:val="20"/>
              </w:rPr>
            </w:pPr>
            <w:r>
              <w:rPr>
                <w:color w:val="000000"/>
                <w:sz w:val="20"/>
                <w:szCs w:val="20"/>
              </w:rPr>
              <w:t>1,390,539.0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center"/>
              <w:rPr>
                <w:color w:val="000000"/>
                <w:sz w:val="20"/>
                <w:szCs w:val="20"/>
              </w:rPr>
            </w:pPr>
            <w:r>
              <w:rPr>
                <w:color w:val="000000"/>
                <w:sz w:val="20"/>
                <w:szCs w:val="20"/>
              </w:rPr>
              <w:t>1,423,048.0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center"/>
              <w:rPr>
                <w:color w:val="000000"/>
                <w:sz w:val="20"/>
                <w:szCs w:val="20"/>
              </w:rPr>
            </w:pPr>
            <w:r>
              <w:rPr>
                <w:color w:val="000000"/>
                <w:sz w:val="20"/>
                <w:szCs w:val="20"/>
              </w:rPr>
              <w:t>1,475,403.0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center"/>
              <w:rPr>
                <w:color w:val="000000"/>
                <w:sz w:val="20"/>
                <w:szCs w:val="20"/>
              </w:rPr>
            </w:pPr>
            <w:r>
              <w:rPr>
                <w:color w:val="000000"/>
                <w:sz w:val="20"/>
                <w:szCs w:val="20"/>
              </w:rPr>
              <w:t>1,534,561.0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center"/>
              <w:rPr>
                <w:color w:val="000000"/>
                <w:sz w:val="20"/>
                <w:szCs w:val="20"/>
              </w:rPr>
            </w:pPr>
            <w:r>
              <w:rPr>
                <w:color w:val="000000"/>
                <w:sz w:val="20"/>
                <w:szCs w:val="20"/>
              </w:rPr>
              <w:t>1,814,557.0</w:t>
            </w:r>
          </w:p>
        </w:tc>
      </w:tr>
    </w:tbl>
    <w:p w:rsidR="00570223" w:rsidRPr="00570223" w:rsidRDefault="00570223" w:rsidP="00570223">
      <w:pPr>
        <w:pStyle w:val="Heading2"/>
        <w:pBdr>
          <w:bottom w:val="single" w:sz="6" w:space="0" w:color="AAAAAA"/>
        </w:pBdr>
        <w:shd w:val="clear" w:color="auto" w:fill="FFFFFF"/>
        <w:spacing w:before="240" w:after="60"/>
        <w:rPr>
          <w:rFonts w:ascii="Georgia" w:hAnsi="Georgia"/>
          <w:b w:val="0"/>
          <w:bCs w:val="0"/>
          <w:color w:val="000000"/>
          <w:sz w:val="36"/>
          <w:szCs w:val="36"/>
          <w:lang w:val="en-US"/>
        </w:rPr>
      </w:pPr>
      <w:r w:rsidRPr="00570223">
        <w:rPr>
          <w:rStyle w:val="mw-headline"/>
          <w:rFonts w:ascii="Georgia" w:hAnsi="Georgia"/>
          <w:b w:val="0"/>
          <w:bCs w:val="0"/>
          <w:color w:val="000000"/>
          <w:lang w:val="en-US"/>
        </w:rPr>
        <w:t>GDP (PPP) per capita growth</w:t>
      </w:r>
    </w:p>
    <w:p w:rsidR="00570223" w:rsidRPr="00570223" w:rsidRDefault="00570223" w:rsidP="00570223">
      <w:pPr>
        <w:pStyle w:val="NormalWeb"/>
        <w:shd w:val="clear" w:color="auto" w:fill="FFFFFF"/>
        <w:spacing w:before="120" w:beforeAutospacing="0" w:after="120" w:afterAutospacing="0" w:line="336" w:lineRule="atLeast"/>
        <w:rPr>
          <w:rFonts w:ascii="Arial" w:hAnsi="Arial" w:cs="Arial"/>
          <w:color w:val="252525"/>
          <w:sz w:val="21"/>
          <w:szCs w:val="21"/>
          <w:lang w:val="en-US"/>
        </w:rPr>
      </w:pPr>
      <w:r w:rsidRPr="00570223">
        <w:rPr>
          <w:rFonts w:ascii="Arial" w:hAnsi="Arial" w:cs="Arial"/>
          <w:color w:val="252525"/>
          <w:sz w:val="21"/>
          <w:szCs w:val="21"/>
          <w:lang w:val="en-US"/>
        </w:rPr>
        <w:t xml:space="preserve">A table showing Italy's GDP per capita (PPP) growth from 2000 to 2008. </w:t>
      </w:r>
    </w:p>
    <w:tbl>
      <w:tblPr>
        <w:tblW w:w="11010" w:type="dxa"/>
        <w:jc w:val="center"/>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206"/>
        <w:gridCol w:w="1206"/>
        <w:gridCol w:w="1206"/>
        <w:gridCol w:w="1206"/>
        <w:gridCol w:w="1207"/>
        <w:gridCol w:w="1207"/>
        <w:gridCol w:w="1207"/>
        <w:gridCol w:w="1207"/>
        <w:gridCol w:w="1358"/>
      </w:tblGrid>
      <w:tr w:rsidR="00570223" w:rsidTr="00570223">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570223" w:rsidRDefault="00570223">
            <w:pPr>
              <w:spacing w:before="240" w:after="240"/>
              <w:jc w:val="center"/>
              <w:rPr>
                <w:b/>
                <w:bCs/>
                <w:color w:val="000000"/>
                <w:sz w:val="20"/>
                <w:szCs w:val="20"/>
              </w:rPr>
            </w:pPr>
            <w:r>
              <w:rPr>
                <w:b/>
                <w:bCs/>
                <w:color w:val="000000"/>
                <w:sz w:val="20"/>
                <w:szCs w:val="20"/>
              </w:rPr>
              <w:t>2000</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570223" w:rsidRDefault="00570223">
            <w:pPr>
              <w:spacing w:before="240" w:after="240"/>
              <w:jc w:val="center"/>
              <w:rPr>
                <w:b/>
                <w:bCs/>
                <w:color w:val="000000"/>
                <w:sz w:val="20"/>
                <w:szCs w:val="20"/>
              </w:rPr>
            </w:pPr>
            <w:r>
              <w:rPr>
                <w:b/>
                <w:bCs/>
                <w:color w:val="000000"/>
                <w:sz w:val="20"/>
                <w:szCs w:val="20"/>
              </w:rPr>
              <w:t>2001</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570223" w:rsidRDefault="00570223">
            <w:pPr>
              <w:spacing w:before="240" w:after="240"/>
              <w:jc w:val="center"/>
              <w:rPr>
                <w:b/>
                <w:bCs/>
                <w:color w:val="000000"/>
                <w:sz w:val="20"/>
                <w:szCs w:val="20"/>
              </w:rPr>
            </w:pPr>
            <w:r>
              <w:rPr>
                <w:b/>
                <w:bCs/>
                <w:color w:val="000000"/>
                <w:sz w:val="20"/>
                <w:szCs w:val="20"/>
              </w:rPr>
              <w:t>2002</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570223" w:rsidRDefault="00570223">
            <w:pPr>
              <w:spacing w:before="240" w:after="240"/>
              <w:jc w:val="center"/>
              <w:rPr>
                <w:b/>
                <w:bCs/>
                <w:color w:val="000000"/>
                <w:sz w:val="20"/>
                <w:szCs w:val="20"/>
              </w:rPr>
            </w:pPr>
            <w:r>
              <w:rPr>
                <w:b/>
                <w:bCs/>
                <w:color w:val="000000"/>
                <w:sz w:val="20"/>
                <w:szCs w:val="20"/>
              </w:rPr>
              <w:t>2003</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570223" w:rsidRDefault="00570223">
            <w:pPr>
              <w:spacing w:before="240" w:after="240"/>
              <w:jc w:val="center"/>
              <w:rPr>
                <w:b/>
                <w:bCs/>
                <w:color w:val="000000"/>
                <w:sz w:val="20"/>
                <w:szCs w:val="20"/>
              </w:rPr>
            </w:pPr>
            <w:r>
              <w:rPr>
                <w:b/>
                <w:bCs/>
                <w:color w:val="000000"/>
                <w:sz w:val="20"/>
                <w:szCs w:val="20"/>
              </w:rPr>
              <w:t>2004</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570223" w:rsidRDefault="00570223">
            <w:pPr>
              <w:spacing w:before="240" w:after="240"/>
              <w:jc w:val="center"/>
              <w:rPr>
                <w:b/>
                <w:bCs/>
                <w:color w:val="000000"/>
                <w:sz w:val="20"/>
                <w:szCs w:val="20"/>
              </w:rPr>
            </w:pPr>
            <w:r>
              <w:rPr>
                <w:b/>
                <w:bCs/>
                <w:color w:val="000000"/>
                <w:sz w:val="20"/>
                <w:szCs w:val="20"/>
              </w:rPr>
              <w:t>2005</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570223" w:rsidRDefault="00570223">
            <w:pPr>
              <w:spacing w:before="240" w:after="240"/>
              <w:jc w:val="center"/>
              <w:rPr>
                <w:b/>
                <w:bCs/>
                <w:color w:val="000000"/>
                <w:sz w:val="20"/>
                <w:szCs w:val="20"/>
              </w:rPr>
            </w:pPr>
            <w:r>
              <w:rPr>
                <w:b/>
                <w:bCs/>
                <w:color w:val="000000"/>
                <w:sz w:val="20"/>
                <w:szCs w:val="20"/>
              </w:rPr>
              <w:t>2006</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570223" w:rsidRDefault="00570223">
            <w:pPr>
              <w:spacing w:before="240" w:after="240"/>
              <w:jc w:val="center"/>
              <w:rPr>
                <w:b/>
                <w:bCs/>
                <w:color w:val="000000"/>
                <w:sz w:val="20"/>
                <w:szCs w:val="20"/>
              </w:rPr>
            </w:pPr>
            <w:r>
              <w:rPr>
                <w:b/>
                <w:bCs/>
                <w:color w:val="000000"/>
                <w:sz w:val="20"/>
                <w:szCs w:val="20"/>
              </w:rPr>
              <w:t>2007</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570223" w:rsidRDefault="00570223">
            <w:pPr>
              <w:spacing w:before="240" w:after="240"/>
              <w:jc w:val="center"/>
              <w:rPr>
                <w:b/>
                <w:bCs/>
                <w:color w:val="000000"/>
                <w:sz w:val="20"/>
                <w:szCs w:val="20"/>
              </w:rPr>
            </w:pPr>
            <w:r>
              <w:rPr>
                <w:b/>
                <w:bCs/>
                <w:color w:val="000000"/>
                <w:sz w:val="20"/>
                <w:szCs w:val="20"/>
              </w:rPr>
              <w:t>2008</w:t>
            </w:r>
          </w:p>
        </w:tc>
      </w:tr>
      <w:tr w:rsidR="00570223" w:rsidTr="00570223">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center"/>
              <w:rPr>
                <w:color w:val="000000"/>
                <w:sz w:val="20"/>
                <w:szCs w:val="20"/>
              </w:rPr>
            </w:pPr>
            <w:r>
              <w:rPr>
                <w:color w:val="000000"/>
                <w:sz w:val="20"/>
                <w:szCs w:val="20"/>
              </w:rPr>
              <w:t>20,917.0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center"/>
              <w:rPr>
                <w:color w:val="000000"/>
                <w:sz w:val="20"/>
                <w:szCs w:val="20"/>
              </w:rPr>
            </w:pPr>
            <w:r>
              <w:rPr>
                <w:color w:val="000000"/>
                <w:sz w:val="20"/>
                <w:szCs w:val="20"/>
              </w:rPr>
              <w:t>21,914.9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center"/>
              <w:rPr>
                <w:color w:val="000000"/>
                <w:sz w:val="20"/>
                <w:szCs w:val="20"/>
              </w:rPr>
            </w:pPr>
            <w:r>
              <w:rPr>
                <w:color w:val="000000"/>
                <w:sz w:val="20"/>
                <w:szCs w:val="20"/>
              </w:rPr>
              <w:t>22,660.7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center"/>
              <w:rPr>
                <w:color w:val="000000"/>
                <w:sz w:val="20"/>
                <w:szCs w:val="20"/>
              </w:rPr>
            </w:pPr>
            <w:r>
              <w:rPr>
                <w:color w:val="000000"/>
                <w:sz w:val="20"/>
                <w:szCs w:val="20"/>
              </w:rPr>
              <w:t>23,181.3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center"/>
              <w:rPr>
                <w:color w:val="000000"/>
                <w:sz w:val="20"/>
                <w:szCs w:val="20"/>
              </w:rPr>
            </w:pPr>
            <w:r>
              <w:rPr>
                <w:color w:val="000000"/>
                <w:sz w:val="20"/>
                <w:szCs w:val="20"/>
              </w:rPr>
              <w:t>23,902.6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center"/>
              <w:rPr>
                <w:color w:val="000000"/>
                <w:sz w:val="20"/>
                <w:szCs w:val="20"/>
              </w:rPr>
            </w:pPr>
            <w:r>
              <w:rPr>
                <w:color w:val="000000"/>
                <w:sz w:val="20"/>
                <w:szCs w:val="20"/>
              </w:rPr>
              <w:t>24,281.2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center"/>
              <w:rPr>
                <w:color w:val="000000"/>
                <w:sz w:val="20"/>
                <w:szCs w:val="20"/>
              </w:rPr>
            </w:pPr>
            <w:r>
              <w:rPr>
                <w:color w:val="000000"/>
                <w:sz w:val="20"/>
                <w:szCs w:val="20"/>
              </w:rPr>
              <w:t>25,031.6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center"/>
              <w:rPr>
                <w:color w:val="000000"/>
                <w:sz w:val="20"/>
                <w:szCs w:val="20"/>
              </w:rPr>
            </w:pPr>
            <w:r>
              <w:rPr>
                <w:color w:val="000000"/>
                <w:sz w:val="20"/>
                <w:szCs w:val="20"/>
              </w:rPr>
              <w:t>25,921.4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center"/>
              <w:rPr>
                <w:color w:val="000000"/>
                <w:sz w:val="20"/>
                <w:szCs w:val="20"/>
              </w:rPr>
            </w:pPr>
            <w:r>
              <w:rPr>
                <w:color w:val="000000"/>
                <w:sz w:val="20"/>
                <w:szCs w:val="20"/>
              </w:rPr>
              <w:t>26,276.40</w:t>
            </w:r>
          </w:p>
        </w:tc>
      </w:tr>
    </w:tbl>
    <w:p w:rsidR="00570223" w:rsidRPr="00570223" w:rsidRDefault="00570223" w:rsidP="00570223">
      <w:pPr>
        <w:pStyle w:val="Heading2"/>
        <w:pBdr>
          <w:bottom w:val="single" w:sz="6" w:space="0" w:color="AAAAAA"/>
        </w:pBdr>
        <w:shd w:val="clear" w:color="auto" w:fill="FFFFFF"/>
        <w:spacing w:before="240" w:after="60"/>
        <w:rPr>
          <w:rFonts w:ascii="Georgia" w:hAnsi="Georgia"/>
          <w:b w:val="0"/>
          <w:bCs w:val="0"/>
          <w:color w:val="000000"/>
          <w:sz w:val="36"/>
          <w:szCs w:val="36"/>
          <w:lang w:val="en-US"/>
        </w:rPr>
      </w:pPr>
      <w:r>
        <w:rPr>
          <w:rStyle w:val="mw-headline"/>
          <w:rFonts w:ascii="Georgia" w:hAnsi="Georgia"/>
          <w:b w:val="0"/>
          <w:bCs w:val="0"/>
          <w:color w:val="000000"/>
        </w:rPr>
        <w:t>GDP sector composition</w:t>
      </w:r>
    </w:p>
    <w:tbl>
      <w:tblPr>
        <w:tblpPr w:leftFromText="180" w:rightFromText="180" w:vertAnchor="text" w:horzAnchor="margin" w:tblpXSpec="center" w:tblpY="274"/>
        <w:tblW w:w="11032"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9687"/>
        <w:gridCol w:w="1345"/>
      </w:tblGrid>
      <w:tr w:rsidR="00570223" w:rsidTr="00570223">
        <w:tc>
          <w:tcPr>
            <w:tcW w:w="968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rPr>
                <w:color w:val="000000"/>
                <w:sz w:val="20"/>
                <w:szCs w:val="20"/>
              </w:rPr>
            </w:pPr>
            <w:r>
              <w:rPr>
                <w:b/>
                <w:bCs/>
                <w:color w:val="000000"/>
                <w:sz w:val="20"/>
                <w:szCs w:val="20"/>
              </w:rPr>
              <w:t>Macro-economic activity</w:t>
            </w:r>
          </w:p>
        </w:tc>
        <w:tc>
          <w:tcPr>
            <w:tcW w:w="134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center"/>
              <w:rPr>
                <w:color w:val="000000"/>
                <w:sz w:val="20"/>
                <w:szCs w:val="20"/>
              </w:rPr>
            </w:pPr>
            <w:r>
              <w:rPr>
                <w:b/>
                <w:bCs/>
                <w:color w:val="000000"/>
                <w:sz w:val="20"/>
                <w:szCs w:val="20"/>
              </w:rPr>
              <w:t>GDP activity</w:t>
            </w:r>
          </w:p>
        </w:tc>
      </w:tr>
      <w:tr w:rsidR="00570223" w:rsidTr="00570223">
        <w:tc>
          <w:tcPr>
            <w:tcW w:w="968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rPr>
                <w:color w:val="000000"/>
                <w:sz w:val="20"/>
                <w:szCs w:val="20"/>
              </w:rPr>
            </w:pPr>
            <w:r>
              <w:rPr>
                <w:color w:val="000000"/>
                <w:sz w:val="20"/>
                <w:szCs w:val="20"/>
              </w:rPr>
              <w:t>Primary (agriculture, farming, fishing)</w:t>
            </w:r>
          </w:p>
        </w:tc>
        <w:tc>
          <w:tcPr>
            <w:tcW w:w="134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right"/>
              <w:rPr>
                <w:color w:val="000000"/>
                <w:sz w:val="20"/>
                <w:szCs w:val="20"/>
              </w:rPr>
            </w:pPr>
            <w:r>
              <w:rPr>
                <w:color w:val="000000"/>
                <w:sz w:val="20"/>
                <w:szCs w:val="20"/>
              </w:rPr>
              <w:t>€ 27,193.33</w:t>
            </w:r>
          </w:p>
        </w:tc>
      </w:tr>
      <w:tr w:rsidR="00570223" w:rsidTr="00570223">
        <w:tc>
          <w:tcPr>
            <w:tcW w:w="968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Pr="00570223" w:rsidRDefault="00570223" w:rsidP="00570223">
            <w:pPr>
              <w:spacing w:before="240" w:after="240"/>
              <w:rPr>
                <w:color w:val="000000"/>
                <w:sz w:val="20"/>
                <w:szCs w:val="20"/>
                <w:lang w:val="en-US"/>
              </w:rPr>
            </w:pPr>
            <w:r w:rsidRPr="00570223">
              <w:rPr>
                <w:color w:val="000000"/>
                <w:sz w:val="20"/>
                <w:szCs w:val="20"/>
                <w:lang w:val="en-US"/>
              </w:rPr>
              <w:t>Secondary (industry, manufacturing, petrochemicals, processing)</w:t>
            </w:r>
          </w:p>
        </w:tc>
        <w:tc>
          <w:tcPr>
            <w:tcW w:w="134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right"/>
              <w:rPr>
                <w:color w:val="000000"/>
                <w:sz w:val="20"/>
                <w:szCs w:val="20"/>
              </w:rPr>
            </w:pPr>
            <w:r>
              <w:rPr>
                <w:color w:val="000000"/>
                <w:sz w:val="20"/>
                <w:szCs w:val="20"/>
              </w:rPr>
              <w:t>€ 270,000.59</w:t>
            </w:r>
          </w:p>
        </w:tc>
      </w:tr>
      <w:tr w:rsidR="00570223" w:rsidTr="00570223">
        <w:tc>
          <w:tcPr>
            <w:tcW w:w="968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rPr>
                <w:color w:val="000000"/>
                <w:sz w:val="20"/>
                <w:szCs w:val="20"/>
              </w:rPr>
            </w:pPr>
            <w:r>
              <w:rPr>
                <w:color w:val="000000"/>
                <w:sz w:val="20"/>
                <w:szCs w:val="20"/>
              </w:rPr>
              <w:t>Constructions</w:t>
            </w:r>
          </w:p>
        </w:tc>
        <w:tc>
          <w:tcPr>
            <w:tcW w:w="134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right"/>
              <w:rPr>
                <w:color w:val="000000"/>
                <w:sz w:val="20"/>
                <w:szCs w:val="20"/>
              </w:rPr>
            </w:pPr>
            <w:r>
              <w:rPr>
                <w:color w:val="000000"/>
                <w:sz w:val="20"/>
                <w:szCs w:val="20"/>
              </w:rPr>
              <w:t>€ 79,775.99</w:t>
            </w:r>
          </w:p>
        </w:tc>
      </w:tr>
      <w:tr w:rsidR="00570223" w:rsidTr="00570223">
        <w:tc>
          <w:tcPr>
            <w:tcW w:w="968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Pr="00570223" w:rsidRDefault="00570223" w:rsidP="00570223">
            <w:pPr>
              <w:spacing w:before="240" w:after="240"/>
              <w:rPr>
                <w:color w:val="000000"/>
                <w:sz w:val="20"/>
                <w:szCs w:val="20"/>
                <w:lang w:val="en-US"/>
              </w:rPr>
            </w:pPr>
            <w:r w:rsidRPr="00570223">
              <w:rPr>
                <w:color w:val="000000"/>
                <w:sz w:val="20"/>
                <w:szCs w:val="20"/>
                <w:lang w:val="en-US"/>
              </w:rPr>
              <w:t>Tertiary (commerce, restoration, hotels and restaurants, tourism, transport, communications)</w:t>
            </w:r>
          </w:p>
        </w:tc>
        <w:tc>
          <w:tcPr>
            <w:tcW w:w="134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right"/>
              <w:rPr>
                <w:color w:val="000000"/>
                <w:sz w:val="20"/>
                <w:szCs w:val="20"/>
              </w:rPr>
            </w:pPr>
            <w:r>
              <w:rPr>
                <w:color w:val="000000"/>
                <w:sz w:val="20"/>
                <w:szCs w:val="20"/>
              </w:rPr>
              <w:t>€ 303,091.10</w:t>
            </w:r>
          </w:p>
        </w:tc>
      </w:tr>
      <w:tr w:rsidR="00570223" w:rsidTr="00570223">
        <w:tc>
          <w:tcPr>
            <w:tcW w:w="968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Pr="00570223" w:rsidRDefault="00570223" w:rsidP="00570223">
            <w:pPr>
              <w:spacing w:before="240" w:after="240"/>
              <w:rPr>
                <w:color w:val="000000"/>
                <w:sz w:val="20"/>
                <w:szCs w:val="20"/>
                <w:lang w:val="en-US"/>
              </w:rPr>
            </w:pPr>
            <w:r w:rsidRPr="00570223">
              <w:rPr>
                <w:color w:val="000000"/>
                <w:sz w:val="20"/>
                <w:szCs w:val="20"/>
                <w:lang w:val="en-US"/>
              </w:rPr>
              <w:t>Financial activities and real estate</w:t>
            </w:r>
          </w:p>
        </w:tc>
        <w:tc>
          <w:tcPr>
            <w:tcW w:w="134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right"/>
              <w:rPr>
                <w:color w:val="000000"/>
                <w:sz w:val="20"/>
                <w:szCs w:val="20"/>
              </w:rPr>
            </w:pPr>
            <w:r>
              <w:rPr>
                <w:color w:val="000000"/>
                <w:sz w:val="20"/>
                <w:szCs w:val="20"/>
              </w:rPr>
              <w:t>€ 356,600.45</w:t>
            </w:r>
          </w:p>
        </w:tc>
      </w:tr>
      <w:tr w:rsidR="00570223" w:rsidTr="00570223">
        <w:tc>
          <w:tcPr>
            <w:tcW w:w="968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Pr="00570223" w:rsidRDefault="00570223" w:rsidP="00570223">
            <w:pPr>
              <w:spacing w:before="240" w:after="240"/>
              <w:rPr>
                <w:color w:val="000000"/>
                <w:sz w:val="20"/>
                <w:szCs w:val="20"/>
                <w:lang w:val="en-US"/>
              </w:rPr>
            </w:pPr>
            <w:r w:rsidRPr="00570223">
              <w:rPr>
                <w:color w:val="000000"/>
                <w:sz w:val="20"/>
                <w:szCs w:val="20"/>
                <w:lang w:val="en-US"/>
              </w:rPr>
              <w:t>Other activities (e.g. R&amp;D)</w:t>
            </w:r>
          </w:p>
        </w:tc>
        <w:tc>
          <w:tcPr>
            <w:tcW w:w="134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right"/>
              <w:rPr>
                <w:color w:val="000000"/>
                <w:sz w:val="20"/>
                <w:szCs w:val="20"/>
              </w:rPr>
            </w:pPr>
            <w:r>
              <w:rPr>
                <w:color w:val="000000"/>
                <w:sz w:val="20"/>
                <w:szCs w:val="20"/>
              </w:rPr>
              <w:t>€ 279,924.50</w:t>
            </w:r>
          </w:p>
        </w:tc>
      </w:tr>
      <w:tr w:rsidR="00570223" w:rsidTr="00570223">
        <w:tc>
          <w:tcPr>
            <w:tcW w:w="968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Pr="00570223" w:rsidRDefault="00570223" w:rsidP="00570223">
            <w:pPr>
              <w:spacing w:before="240" w:after="240"/>
              <w:rPr>
                <w:color w:val="000000"/>
                <w:sz w:val="20"/>
                <w:szCs w:val="20"/>
                <w:lang w:val="en-US"/>
              </w:rPr>
            </w:pPr>
            <w:r w:rsidRPr="00570223">
              <w:rPr>
                <w:color w:val="000000"/>
                <w:sz w:val="20"/>
                <w:szCs w:val="20"/>
                <w:lang w:val="en-US"/>
              </w:rPr>
              <w:t>VAT and other forms of taxes</w:t>
            </w:r>
          </w:p>
        </w:tc>
        <w:tc>
          <w:tcPr>
            <w:tcW w:w="134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right"/>
              <w:rPr>
                <w:color w:val="000000"/>
                <w:sz w:val="20"/>
                <w:szCs w:val="20"/>
              </w:rPr>
            </w:pPr>
            <w:r>
              <w:rPr>
                <w:color w:val="000000"/>
                <w:sz w:val="20"/>
                <w:szCs w:val="20"/>
              </w:rPr>
              <w:t>€ 158,817.00</w:t>
            </w:r>
          </w:p>
        </w:tc>
      </w:tr>
      <w:tr w:rsidR="00570223" w:rsidTr="00570223">
        <w:tc>
          <w:tcPr>
            <w:tcW w:w="968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rPr>
                <w:color w:val="000000"/>
                <w:sz w:val="20"/>
                <w:szCs w:val="20"/>
              </w:rPr>
            </w:pPr>
            <w:r>
              <w:rPr>
                <w:b/>
                <w:bCs/>
                <w:color w:val="000000"/>
                <w:sz w:val="20"/>
                <w:szCs w:val="20"/>
              </w:rPr>
              <w:t>GDP (PPP) of Italy</w:t>
            </w:r>
          </w:p>
        </w:tc>
        <w:tc>
          <w:tcPr>
            <w:tcW w:w="134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70223" w:rsidRDefault="00570223" w:rsidP="00570223">
            <w:pPr>
              <w:spacing w:before="240" w:after="240"/>
              <w:jc w:val="right"/>
              <w:rPr>
                <w:color w:val="000000"/>
                <w:sz w:val="20"/>
                <w:szCs w:val="20"/>
              </w:rPr>
            </w:pPr>
            <w:r>
              <w:rPr>
                <w:b/>
                <w:bCs/>
                <w:color w:val="000000"/>
                <w:sz w:val="20"/>
                <w:szCs w:val="20"/>
              </w:rPr>
              <w:t>€ 1,475,402.97</w:t>
            </w:r>
          </w:p>
        </w:tc>
      </w:tr>
    </w:tbl>
    <w:p w:rsidR="00570223" w:rsidRPr="00570223" w:rsidRDefault="00570223" w:rsidP="00570223">
      <w:pPr>
        <w:pStyle w:val="NormalWeb"/>
        <w:shd w:val="clear" w:color="auto" w:fill="FFFFFF"/>
        <w:spacing w:before="120" w:beforeAutospacing="0" w:after="120" w:afterAutospacing="0" w:line="336" w:lineRule="atLeast"/>
        <w:rPr>
          <w:rFonts w:ascii="Arial" w:hAnsi="Arial" w:cs="Arial"/>
          <w:color w:val="252525"/>
          <w:sz w:val="21"/>
          <w:szCs w:val="21"/>
          <w:lang w:val="en-US"/>
        </w:rPr>
      </w:pPr>
      <w:r w:rsidRPr="00570223">
        <w:rPr>
          <w:rFonts w:ascii="Arial" w:hAnsi="Arial" w:cs="Arial"/>
          <w:color w:val="252525"/>
          <w:sz w:val="21"/>
          <w:szCs w:val="21"/>
          <w:lang w:val="en-US"/>
        </w:rPr>
        <w:lastRenderedPageBreak/>
        <w:t>A table showing the different compositions of the Italian economy:</w:t>
      </w:r>
    </w:p>
    <w:p w:rsidR="00570223" w:rsidRPr="00570223" w:rsidRDefault="00570223" w:rsidP="00570223">
      <w:pPr>
        <w:pStyle w:val="Heading2"/>
        <w:pBdr>
          <w:bottom w:val="single" w:sz="6" w:space="0" w:color="AAAAAA"/>
        </w:pBdr>
        <w:shd w:val="clear" w:color="auto" w:fill="FFFFFF"/>
        <w:spacing w:before="240" w:after="60"/>
        <w:rPr>
          <w:rFonts w:ascii="Georgia" w:hAnsi="Georgia"/>
          <w:b w:val="0"/>
          <w:bCs w:val="0"/>
          <w:color w:val="000000"/>
          <w:sz w:val="36"/>
          <w:szCs w:val="36"/>
          <w:lang w:val="en-US"/>
        </w:rPr>
      </w:pPr>
      <w:r>
        <w:rPr>
          <w:rStyle w:val="mw-headline"/>
          <w:rFonts w:ascii="Georgia" w:hAnsi="Georgia"/>
          <w:b w:val="0"/>
          <w:bCs w:val="0"/>
          <w:color w:val="000000"/>
        </w:rPr>
        <w:t>Other statistics</w:t>
      </w:r>
    </w:p>
    <w:p w:rsidR="00570223" w:rsidRPr="00570223" w:rsidRDefault="00570223" w:rsidP="00570223">
      <w:pPr>
        <w:pStyle w:val="NormalWeb"/>
        <w:shd w:val="clear" w:color="auto" w:fill="FFFFFF"/>
        <w:spacing w:before="120" w:beforeAutospacing="0" w:after="120" w:afterAutospacing="0" w:line="336" w:lineRule="atLeast"/>
        <w:rPr>
          <w:rFonts w:ascii="Arial" w:hAnsi="Arial" w:cs="Arial"/>
          <w:color w:val="252525"/>
          <w:sz w:val="21"/>
          <w:szCs w:val="21"/>
          <w:lang w:val="en-US"/>
        </w:rPr>
      </w:pPr>
    </w:p>
    <w:p w:rsidR="00570223" w:rsidRPr="00570223" w:rsidRDefault="00570223" w:rsidP="00570223">
      <w:pPr>
        <w:numPr>
          <w:ilvl w:val="0"/>
          <w:numId w:val="1"/>
        </w:numPr>
        <w:shd w:val="clear" w:color="auto" w:fill="FFFFFF"/>
        <w:spacing w:before="100" w:beforeAutospacing="1" w:after="24" w:line="336" w:lineRule="atLeast"/>
        <w:ind w:left="384"/>
        <w:rPr>
          <w:rFonts w:ascii="Arial" w:hAnsi="Arial" w:cs="Arial"/>
          <w:color w:val="252525"/>
          <w:sz w:val="21"/>
          <w:szCs w:val="21"/>
          <w:lang w:val="en-US"/>
        </w:rPr>
      </w:pPr>
      <w:r w:rsidRPr="00570223">
        <w:rPr>
          <w:rFonts w:ascii="Arial" w:hAnsi="Arial" w:cs="Arial"/>
          <w:b/>
          <w:bCs/>
          <w:color w:val="252525"/>
          <w:sz w:val="21"/>
          <w:szCs w:val="21"/>
          <w:lang w:val="en-US"/>
        </w:rPr>
        <w:t>Central Bank discount rate</w:t>
      </w:r>
      <w:r w:rsidRPr="00570223">
        <w:rPr>
          <w:rFonts w:ascii="Arial" w:hAnsi="Arial" w:cs="Arial"/>
          <w:color w:val="252525"/>
          <w:sz w:val="21"/>
          <w:szCs w:val="21"/>
          <w:lang w:val="en-US"/>
        </w:rPr>
        <w:t>: 3% (31 December 2008), 5% (31 December 2007)</w:t>
      </w:r>
    </w:p>
    <w:p w:rsidR="00570223" w:rsidRPr="00570223" w:rsidRDefault="00570223" w:rsidP="00570223">
      <w:pPr>
        <w:numPr>
          <w:ilvl w:val="0"/>
          <w:numId w:val="1"/>
        </w:numPr>
        <w:shd w:val="clear" w:color="auto" w:fill="FFFFFF"/>
        <w:spacing w:before="100" w:beforeAutospacing="1" w:after="24" w:line="336" w:lineRule="atLeast"/>
        <w:ind w:left="384"/>
        <w:rPr>
          <w:rFonts w:ascii="Arial" w:hAnsi="Arial" w:cs="Arial"/>
          <w:color w:val="252525"/>
          <w:sz w:val="21"/>
          <w:szCs w:val="21"/>
          <w:lang w:val="en-US"/>
        </w:rPr>
      </w:pPr>
      <w:r w:rsidRPr="00570223">
        <w:rPr>
          <w:rFonts w:ascii="Arial" w:hAnsi="Arial" w:cs="Arial"/>
          <w:b/>
          <w:bCs/>
          <w:color w:val="252525"/>
          <w:sz w:val="21"/>
          <w:szCs w:val="21"/>
          <w:lang w:val="en-US"/>
        </w:rPr>
        <w:t>Commercial bank prime lending rate</w:t>
      </w:r>
      <w:r w:rsidRPr="00570223">
        <w:rPr>
          <w:rFonts w:ascii="Arial" w:hAnsi="Arial" w:cs="Arial"/>
          <w:color w:val="252525"/>
          <w:sz w:val="21"/>
          <w:szCs w:val="21"/>
          <w:lang w:val="en-US"/>
        </w:rPr>
        <w:t>: 11.34% (31 December 2008), 10.93% (31 December 2007)</w:t>
      </w:r>
    </w:p>
    <w:p w:rsidR="00570223" w:rsidRPr="00570223" w:rsidRDefault="00570223" w:rsidP="00570223">
      <w:pPr>
        <w:numPr>
          <w:ilvl w:val="0"/>
          <w:numId w:val="1"/>
        </w:numPr>
        <w:shd w:val="clear" w:color="auto" w:fill="FFFFFF"/>
        <w:spacing w:before="100" w:beforeAutospacing="1" w:after="24" w:line="336" w:lineRule="atLeast"/>
        <w:ind w:left="384"/>
        <w:rPr>
          <w:rFonts w:ascii="Arial" w:hAnsi="Arial" w:cs="Arial"/>
          <w:color w:val="252525"/>
          <w:sz w:val="21"/>
          <w:szCs w:val="21"/>
          <w:lang w:val="en-US"/>
        </w:rPr>
      </w:pPr>
      <w:r w:rsidRPr="00570223">
        <w:rPr>
          <w:rFonts w:ascii="Arial" w:hAnsi="Arial" w:cs="Arial"/>
          <w:b/>
          <w:bCs/>
          <w:color w:val="252525"/>
          <w:sz w:val="21"/>
          <w:szCs w:val="21"/>
          <w:lang w:val="en-US"/>
        </w:rPr>
        <w:t>Stock of domestic credit</w:t>
      </w:r>
      <w:r w:rsidRPr="00570223">
        <w:rPr>
          <w:rFonts w:ascii="Arial" w:hAnsi="Arial" w:cs="Arial"/>
          <w:color w:val="252525"/>
          <w:sz w:val="21"/>
          <w:szCs w:val="21"/>
          <w:lang w:val="en-US"/>
        </w:rPr>
        <w:t>: $3.046 trillion (31 December 2008), $2.932 trillion (31 December 2007)</w:t>
      </w:r>
    </w:p>
    <w:p w:rsidR="00570223" w:rsidRPr="00570223" w:rsidRDefault="00570223" w:rsidP="00570223">
      <w:pPr>
        <w:numPr>
          <w:ilvl w:val="0"/>
          <w:numId w:val="1"/>
        </w:numPr>
        <w:shd w:val="clear" w:color="auto" w:fill="FFFFFF"/>
        <w:spacing w:before="100" w:beforeAutospacing="1" w:after="24" w:line="336" w:lineRule="atLeast"/>
        <w:ind w:left="384"/>
        <w:rPr>
          <w:rFonts w:ascii="Arial" w:hAnsi="Arial" w:cs="Arial"/>
          <w:color w:val="252525"/>
          <w:sz w:val="21"/>
          <w:szCs w:val="21"/>
          <w:lang w:val="en-US"/>
        </w:rPr>
      </w:pPr>
      <w:r w:rsidRPr="00570223">
        <w:rPr>
          <w:rFonts w:ascii="Arial" w:hAnsi="Arial" w:cs="Arial"/>
          <w:b/>
          <w:bCs/>
          <w:color w:val="252525"/>
          <w:sz w:val="21"/>
          <w:szCs w:val="21"/>
          <w:lang w:val="en-US"/>
        </w:rPr>
        <w:t>Market value of publicly traded shares</w:t>
      </w:r>
      <w:r w:rsidRPr="00570223">
        <w:rPr>
          <w:rFonts w:ascii="Arial" w:hAnsi="Arial" w:cs="Arial"/>
          <w:color w:val="252525"/>
          <w:sz w:val="21"/>
          <w:szCs w:val="21"/>
          <w:lang w:val="en-US"/>
        </w:rPr>
        <w:t>: $NA (31 December 2008), $1.073 trillion (31 December 2007), $1.027 trillion (31 December 2006)</w:t>
      </w:r>
    </w:p>
    <w:p w:rsidR="00570223" w:rsidRPr="00570223" w:rsidRDefault="00570223" w:rsidP="00570223">
      <w:pPr>
        <w:numPr>
          <w:ilvl w:val="0"/>
          <w:numId w:val="1"/>
        </w:numPr>
        <w:shd w:val="clear" w:color="auto" w:fill="FFFFFF"/>
        <w:spacing w:before="100" w:beforeAutospacing="1" w:after="24" w:line="336" w:lineRule="atLeast"/>
        <w:ind w:left="384"/>
        <w:rPr>
          <w:rFonts w:ascii="Arial" w:hAnsi="Arial" w:cs="Arial"/>
          <w:color w:val="252525"/>
          <w:sz w:val="21"/>
          <w:szCs w:val="21"/>
          <w:lang w:val="en-US"/>
        </w:rPr>
      </w:pPr>
      <w:r w:rsidRPr="00570223">
        <w:rPr>
          <w:rFonts w:ascii="Arial" w:hAnsi="Arial" w:cs="Arial"/>
          <w:b/>
          <w:bCs/>
          <w:color w:val="252525"/>
          <w:sz w:val="21"/>
          <w:szCs w:val="21"/>
          <w:lang w:val="en-US"/>
        </w:rPr>
        <w:t>Industrial production growth rate</w:t>
      </w:r>
      <w:r w:rsidRPr="00570223">
        <w:rPr>
          <w:rFonts w:ascii="Arial" w:hAnsi="Arial" w:cs="Arial"/>
          <w:color w:val="252525"/>
          <w:sz w:val="21"/>
          <w:szCs w:val="21"/>
          <w:lang w:val="en-US"/>
        </w:rPr>
        <w:t>: -12% (2009 est.)</w:t>
      </w:r>
    </w:p>
    <w:p w:rsidR="00570223" w:rsidRDefault="00570223" w:rsidP="00570223">
      <w:pPr>
        <w:numPr>
          <w:ilvl w:val="0"/>
          <w:numId w:val="1"/>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b/>
          <w:bCs/>
          <w:color w:val="252525"/>
          <w:sz w:val="21"/>
          <w:szCs w:val="21"/>
        </w:rPr>
        <w:t>Electricity - exports</w:t>
      </w:r>
      <w:r>
        <w:rPr>
          <w:rFonts w:ascii="Arial" w:hAnsi="Arial" w:cs="Arial"/>
          <w:color w:val="252525"/>
          <w:sz w:val="21"/>
          <w:szCs w:val="21"/>
        </w:rPr>
        <w:t>: 3.431 kWh (2008 est.)</w:t>
      </w:r>
    </w:p>
    <w:p w:rsidR="00570223" w:rsidRPr="00570223" w:rsidRDefault="00570223" w:rsidP="00570223">
      <w:pPr>
        <w:numPr>
          <w:ilvl w:val="0"/>
          <w:numId w:val="1"/>
        </w:numPr>
        <w:shd w:val="clear" w:color="auto" w:fill="FFFFFF"/>
        <w:spacing w:before="100" w:beforeAutospacing="1" w:after="24" w:line="336" w:lineRule="atLeast"/>
        <w:ind w:left="384"/>
        <w:rPr>
          <w:rFonts w:ascii="Arial" w:hAnsi="Arial" w:cs="Arial"/>
          <w:color w:val="252525"/>
          <w:sz w:val="21"/>
          <w:szCs w:val="21"/>
          <w:lang w:val="en-US"/>
        </w:rPr>
      </w:pPr>
      <w:r w:rsidRPr="00570223">
        <w:rPr>
          <w:rFonts w:ascii="Arial" w:hAnsi="Arial" w:cs="Arial"/>
          <w:b/>
          <w:bCs/>
          <w:color w:val="252525"/>
          <w:sz w:val="21"/>
          <w:szCs w:val="21"/>
          <w:lang w:val="en-US"/>
        </w:rPr>
        <w:t>Electricity - imports</w:t>
      </w:r>
      <w:r w:rsidRPr="00570223">
        <w:rPr>
          <w:rFonts w:ascii="Arial" w:hAnsi="Arial" w:cs="Arial"/>
          <w:color w:val="252525"/>
          <w:sz w:val="21"/>
          <w:szCs w:val="21"/>
          <w:lang w:val="en-US"/>
        </w:rPr>
        <w:t>: 43 billion kWh (2008 est.)</w:t>
      </w:r>
    </w:p>
    <w:p w:rsidR="00570223" w:rsidRPr="00570223" w:rsidRDefault="00570223" w:rsidP="00570223">
      <w:pPr>
        <w:numPr>
          <w:ilvl w:val="0"/>
          <w:numId w:val="1"/>
        </w:numPr>
        <w:shd w:val="clear" w:color="auto" w:fill="FFFFFF"/>
        <w:spacing w:before="100" w:beforeAutospacing="1" w:after="24" w:line="336" w:lineRule="atLeast"/>
        <w:ind w:left="384"/>
        <w:rPr>
          <w:rFonts w:ascii="Arial" w:hAnsi="Arial" w:cs="Arial"/>
          <w:color w:val="252525"/>
          <w:sz w:val="21"/>
          <w:szCs w:val="21"/>
          <w:lang w:val="en-US"/>
        </w:rPr>
      </w:pPr>
      <w:r w:rsidRPr="00570223">
        <w:rPr>
          <w:rFonts w:ascii="Arial" w:hAnsi="Arial" w:cs="Arial"/>
          <w:b/>
          <w:bCs/>
          <w:color w:val="252525"/>
          <w:sz w:val="21"/>
          <w:szCs w:val="21"/>
          <w:lang w:val="en-US"/>
        </w:rPr>
        <w:t>Oil - production</w:t>
      </w:r>
      <w:r w:rsidRPr="00570223">
        <w:rPr>
          <w:rFonts w:ascii="Arial" w:hAnsi="Arial" w:cs="Arial"/>
          <w:color w:val="252525"/>
          <w:sz w:val="21"/>
          <w:szCs w:val="21"/>
          <w:lang w:val="en-US"/>
        </w:rPr>
        <w:t>: 162,200 bbl/d (25,790 m</w:t>
      </w:r>
      <w:r w:rsidRPr="00570223">
        <w:rPr>
          <w:rFonts w:ascii="Arial" w:hAnsi="Arial" w:cs="Arial"/>
          <w:color w:val="252525"/>
          <w:sz w:val="21"/>
          <w:szCs w:val="21"/>
          <w:vertAlign w:val="superscript"/>
          <w:lang w:val="en-US"/>
        </w:rPr>
        <w:t>3</w:t>
      </w:r>
      <w:r w:rsidRPr="00570223">
        <w:rPr>
          <w:rFonts w:ascii="Arial" w:hAnsi="Arial" w:cs="Arial"/>
          <w:color w:val="252525"/>
          <w:sz w:val="21"/>
          <w:szCs w:val="21"/>
          <w:lang w:val="en-US"/>
        </w:rPr>
        <w:t>/d) (2008 est.)</w:t>
      </w:r>
    </w:p>
    <w:p w:rsidR="00570223" w:rsidRPr="00570223" w:rsidRDefault="00570223" w:rsidP="00570223">
      <w:pPr>
        <w:numPr>
          <w:ilvl w:val="0"/>
          <w:numId w:val="1"/>
        </w:numPr>
        <w:shd w:val="clear" w:color="auto" w:fill="FFFFFF"/>
        <w:spacing w:before="100" w:beforeAutospacing="1" w:after="24" w:line="336" w:lineRule="atLeast"/>
        <w:ind w:left="384"/>
        <w:rPr>
          <w:rFonts w:ascii="Arial" w:hAnsi="Arial" w:cs="Arial"/>
          <w:color w:val="252525"/>
          <w:sz w:val="21"/>
          <w:szCs w:val="21"/>
          <w:lang w:val="en-US"/>
        </w:rPr>
      </w:pPr>
      <w:r w:rsidRPr="00570223">
        <w:rPr>
          <w:rFonts w:ascii="Arial" w:hAnsi="Arial" w:cs="Arial"/>
          <w:b/>
          <w:bCs/>
          <w:color w:val="252525"/>
          <w:sz w:val="21"/>
          <w:szCs w:val="21"/>
          <w:lang w:val="en-US"/>
        </w:rPr>
        <w:t>Oil - consumption</w:t>
      </w:r>
      <w:r w:rsidRPr="00570223">
        <w:rPr>
          <w:rFonts w:ascii="Arial" w:hAnsi="Arial" w:cs="Arial"/>
          <w:color w:val="252525"/>
          <w:sz w:val="21"/>
          <w:szCs w:val="21"/>
          <w:lang w:val="en-US"/>
        </w:rPr>
        <w:t>: 1,639,000 bbl/d (260,600 m</w:t>
      </w:r>
      <w:r w:rsidRPr="00570223">
        <w:rPr>
          <w:rFonts w:ascii="Arial" w:hAnsi="Arial" w:cs="Arial"/>
          <w:color w:val="252525"/>
          <w:sz w:val="21"/>
          <w:szCs w:val="21"/>
          <w:vertAlign w:val="superscript"/>
          <w:lang w:val="en-US"/>
        </w:rPr>
        <w:t>3</w:t>
      </w:r>
      <w:r w:rsidRPr="00570223">
        <w:rPr>
          <w:rFonts w:ascii="Arial" w:hAnsi="Arial" w:cs="Arial"/>
          <w:color w:val="252525"/>
          <w:sz w:val="21"/>
          <w:szCs w:val="21"/>
          <w:lang w:val="en-US"/>
        </w:rPr>
        <w:t>/d) (2008 est.)</w:t>
      </w:r>
    </w:p>
    <w:p w:rsidR="00570223" w:rsidRPr="00570223" w:rsidRDefault="00570223" w:rsidP="00570223">
      <w:pPr>
        <w:numPr>
          <w:ilvl w:val="0"/>
          <w:numId w:val="1"/>
        </w:numPr>
        <w:shd w:val="clear" w:color="auto" w:fill="FFFFFF"/>
        <w:spacing w:before="100" w:beforeAutospacing="1" w:after="24" w:line="336" w:lineRule="atLeast"/>
        <w:ind w:left="384"/>
        <w:rPr>
          <w:rFonts w:ascii="Arial" w:hAnsi="Arial" w:cs="Arial"/>
          <w:color w:val="252525"/>
          <w:sz w:val="21"/>
          <w:szCs w:val="21"/>
          <w:lang w:val="en-US"/>
        </w:rPr>
      </w:pPr>
      <w:r w:rsidRPr="00570223">
        <w:rPr>
          <w:rFonts w:ascii="Arial" w:hAnsi="Arial" w:cs="Arial"/>
          <w:b/>
          <w:bCs/>
          <w:color w:val="252525"/>
          <w:sz w:val="21"/>
          <w:szCs w:val="21"/>
          <w:lang w:val="en-US"/>
        </w:rPr>
        <w:t>Oil - exports</w:t>
      </w:r>
      <w:r w:rsidRPr="00570223">
        <w:rPr>
          <w:rFonts w:ascii="Arial" w:hAnsi="Arial" w:cs="Arial"/>
          <w:color w:val="252525"/>
          <w:sz w:val="21"/>
          <w:szCs w:val="21"/>
          <w:lang w:val="en-US"/>
        </w:rPr>
        <w:t>: 667,100 bbl/d (106,060 m</w:t>
      </w:r>
      <w:r w:rsidRPr="00570223">
        <w:rPr>
          <w:rFonts w:ascii="Arial" w:hAnsi="Arial" w:cs="Arial"/>
          <w:color w:val="252525"/>
          <w:sz w:val="21"/>
          <w:szCs w:val="21"/>
          <w:vertAlign w:val="superscript"/>
          <w:lang w:val="en-US"/>
        </w:rPr>
        <w:t>3</w:t>
      </w:r>
      <w:r w:rsidRPr="00570223">
        <w:rPr>
          <w:rFonts w:ascii="Arial" w:hAnsi="Arial" w:cs="Arial"/>
          <w:color w:val="252525"/>
          <w:sz w:val="21"/>
          <w:szCs w:val="21"/>
          <w:lang w:val="en-US"/>
        </w:rPr>
        <w:t>/d) (2008 est.)</w:t>
      </w:r>
    </w:p>
    <w:p w:rsidR="00570223" w:rsidRPr="00570223" w:rsidRDefault="00570223" w:rsidP="00570223">
      <w:pPr>
        <w:numPr>
          <w:ilvl w:val="0"/>
          <w:numId w:val="1"/>
        </w:numPr>
        <w:shd w:val="clear" w:color="auto" w:fill="FFFFFF"/>
        <w:spacing w:before="100" w:beforeAutospacing="1" w:after="24" w:line="336" w:lineRule="atLeast"/>
        <w:ind w:left="384"/>
        <w:rPr>
          <w:rFonts w:ascii="Arial" w:hAnsi="Arial" w:cs="Arial"/>
          <w:color w:val="252525"/>
          <w:sz w:val="21"/>
          <w:szCs w:val="21"/>
          <w:lang w:val="en-US"/>
        </w:rPr>
      </w:pPr>
      <w:r w:rsidRPr="00570223">
        <w:rPr>
          <w:rFonts w:ascii="Arial" w:hAnsi="Arial" w:cs="Arial"/>
          <w:b/>
          <w:bCs/>
          <w:color w:val="252525"/>
          <w:sz w:val="21"/>
          <w:szCs w:val="21"/>
          <w:lang w:val="en-US"/>
        </w:rPr>
        <w:t>Oil - imports</w:t>
      </w:r>
      <w:r w:rsidRPr="00570223">
        <w:rPr>
          <w:rFonts w:ascii="Arial" w:hAnsi="Arial" w:cs="Arial"/>
          <w:color w:val="252525"/>
          <w:sz w:val="21"/>
          <w:szCs w:val="21"/>
          <w:lang w:val="en-US"/>
        </w:rPr>
        <w:t>: 2,205,000 bbl/d (350,600 m</w:t>
      </w:r>
      <w:r w:rsidRPr="00570223">
        <w:rPr>
          <w:rFonts w:ascii="Arial" w:hAnsi="Arial" w:cs="Arial"/>
          <w:color w:val="252525"/>
          <w:sz w:val="21"/>
          <w:szCs w:val="21"/>
          <w:vertAlign w:val="superscript"/>
          <w:lang w:val="en-US"/>
        </w:rPr>
        <w:t>3</w:t>
      </w:r>
      <w:r w:rsidRPr="00570223">
        <w:rPr>
          <w:rFonts w:ascii="Arial" w:hAnsi="Arial" w:cs="Arial"/>
          <w:color w:val="252525"/>
          <w:sz w:val="21"/>
          <w:szCs w:val="21"/>
          <w:lang w:val="en-US"/>
        </w:rPr>
        <w:t>/d) (2008 est.)</w:t>
      </w:r>
    </w:p>
    <w:p w:rsidR="00570223" w:rsidRPr="00570223" w:rsidRDefault="00570223" w:rsidP="00570223">
      <w:pPr>
        <w:numPr>
          <w:ilvl w:val="0"/>
          <w:numId w:val="1"/>
        </w:numPr>
        <w:shd w:val="clear" w:color="auto" w:fill="FFFFFF"/>
        <w:spacing w:before="100" w:beforeAutospacing="1" w:after="24" w:line="336" w:lineRule="atLeast"/>
        <w:ind w:left="384"/>
        <w:rPr>
          <w:rFonts w:ascii="Arial" w:hAnsi="Arial" w:cs="Arial"/>
          <w:color w:val="252525"/>
          <w:sz w:val="21"/>
          <w:szCs w:val="21"/>
          <w:lang w:val="en-US"/>
        </w:rPr>
      </w:pPr>
      <w:r w:rsidRPr="00570223">
        <w:rPr>
          <w:rFonts w:ascii="Arial" w:hAnsi="Arial" w:cs="Arial"/>
          <w:b/>
          <w:bCs/>
          <w:color w:val="252525"/>
          <w:sz w:val="21"/>
          <w:szCs w:val="21"/>
          <w:lang w:val="en-US"/>
        </w:rPr>
        <w:t>Oil - proved reserves</w:t>
      </w:r>
      <w:r w:rsidRPr="00570223">
        <w:rPr>
          <w:rFonts w:ascii="Arial" w:hAnsi="Arial" w:cs="Arial"/>
          <w:color w:val="252525"/>
          <w:sz w:val="21"/>
          <w:szCs w:val="21"/>
          <w:lang w:val="en-US"/>
        </w:rPr>
        <w:t>: 406,500,000 bbl (64,630,000 m</w:t>
      </w:r>
      <w:r w:rsidRPr="00570223">
        <w:rPr>
          <w:rFonts w:ascii="Arial" w:hAnsi="Arial" w:cs="Arial"/>
          <w:color w:val="252525"/>
          <w:sz w:val="21"/>
          <w:szCs w:val="21"/>
          <w:vertAlign w:val="superscript"/>
          <w:lang w:val="en-US"/>
        </w:rPr>
        <w:t>3</w:t>
      </w:r>
      <w:r w:rsidRPr="00570223">
        <w:rPr>
          <w:rFonts w:ascii="Arial" w:hAnsi="Arial" w:cs="Arial"/>
          <w:color w:val="252525"/>
          <w:sz w:val="21"/>
          <w:szCs w:val="21"/>
          <w:lang w:val="en-US"/>
        </w:rPr>
        <w:t>) (1 January 2009 est.)</w:t>
      </w:r>
    </w:p>
    <w:p w:rsidR="00570223" w:rsidRPr="00570223" w:rsidRDefault="00570223" w:rsidP="00570223">
      <w:pPr>
        <w:numPr>
          <w:ilvl w:val="0"/>
          <w:numId w:val="1"/>
        </w:numPr>
        <w:shd w:val="clear" w:color="auto" w:fill="FFFFFF"/>
        <w:spacing w:before="100" w:beforeAutospacing="1" w:after="24" w:line="336" w:lineRule="atLeast"/>
        <w:ind w:left="384"/>
        <w:rPr>
          <w:rFonts w:ascii="Arial" w:hAnsi="Arial" w:cs="Arial"/>
          <w:color w:val="252525"/>
          <w:sz w:val="21"/>
          <w:szCs w:val="21"/>
          <w:lang w:val="en-US"/>
        </w:rPr>
      </w:pPr>
      <w:r w:rsidRPr="00570223">
        <w:rPr>
          <w:rFonts w:ascii="Arial" w:hAnsi="Arial" w:cs="Arial"/>
          <w:b/>
          <w:bCs/>
          <w:color w:val="252525"/>
          <w:sz w:val="21"/>
          <w:szCs w:val="21"/>
          <w:lang w:val="en-US"/>
        </w:rPr>
        <w:t>Natural gas - production</w:t>
      </w:r>
      <w:r w:rsidRPr="00570223">
        <w:rPr>
          <w:rFonts w:ascii="Arial" w:hAnsi="Arial" w:cs="Arial"/>
          <w:color w:val="252525"/>
          <w:sz w:val="21"/>
          <w:szCs w:val="21"/>
          <w:lang w:val="en-US"/>
        </w:rPr>
        <w:t>: 9.255 km³ (2008 est.)</w:t>
      </w:r>
    </w:p>
    <w:p w:rsidR="00570223" w:rsidRPr="00570223" w:rsidRDefault="00570223" w:rsidP="00570223">
      <w:pPr>
        <w:numPr>
          <w:ilvl w:val="0"/>
          <w:numId w:val="1"/>
        </w:numPr>
        <w:shd w:val="clear" w:color="auto" w:fill="FFFFFF"/>
        <w:spacing w:before="100" w:beforeAutospacing="1" w:after="24" w:line="336" w:lineRule="atLeast"/>
        <w:ind w:left="384"/>
        <w:rPr>
          <w:rFonts w:ascii="Arial" w:hAnsi="Arial" w:cs="Arial"/>
          <w:color w:val="252525"/>
          <w:sz w:val="21"/>
          <w:szCs w:val="21"/>
          <w:lang w:val="en-US"/>
        </w:rPr>
      </w:pPr>
      <w:r w:rsidRPr="00570223">
        <w:rPr>
          <w:rFonts w:ascii="Arial" w:hAnsi="Arial" w:cs="Arial"/>
          <w:b/>
          <w:bCs/>
          <w:color w:val="252525"/>
          <w:sz w:val="21"/>
          <w:szCs w:val="21"/>
          <w:lang w:val="en-US"/>
        </w:rPr>
        <w:t>Natural gas - consumption</w:t>
      </w:r>
      <w:r w:rsidRPr="00570223">
        <w:rPr>
          <w:rFonts w:ascii="Arial" w:hAnsi="Arial" w:cs="Arial"/>
          <w:color w:val="252525"/>
          <w:sz w:val="21"/>
          <w:szCs w:val="21"/>
          <w:lang w:val="en-US"/>
        </w:rPr>
        <w:t>: 84.88 km³ (2008 est.)</w:t>
      </w:r>
    </w:p>
    <w:p w:rsidR="00570223" w:rsidRPr="00570223" w:rsidRDefault="00570223" w:rsidP="00570223">
      <w:pPr>
        <w:numPr>
          <w:ilvl w:val="0"/>
          <w:numId w:val="1"/>
        </w:numPr>
        <w:shd w:val="clear" w:color="auto" w:fill="FFFFFF"/>
        <w:spacing w:before="100" w:beforeAutospacing="1" w:after="24" w:line="336" w:lineRule="atLeast"/>
        <w:ind w:left="384"/>
        <w:rPr>
          <w:rFonts w:ascii="Arial" w:hAnsi="Arial" w:cs="Arial"/>
          <w:color w:val="252525"/>
          <w:sz w:val="21"/>
          <w:szCs w:val="21"/>
          <w:lang w:val="en-US"/>
        </w:rPr>
      </w:pPr>
      <w:r w:rsidRPr="00570223">
        <w:rPr>
          <w:rFonts w:ascii="Arial" w:hAnsi="Arial" w:cs="Arial"/>
          <w:b/>
          <w:bCs/>
          <w:color w:val="252525"/>
          <w:sz w:val="21"/>
          <w:szCs w:val="21"/>
          <w:lang w:val="en-US"/>
        </w:rPr>
        <w:t>Natural gas - exports</w:t>
      </w:r>
      <w:r w:rsidRPr="00570223">
        <w:rPr>
          <w:rFonts w:ascii="Arial" w:hAnsi="Arial" w:cs="Arial"/>
          <w:color w:val="252525"/>
          <w:sz w:val="21"/>
          <w:szCs w:val="21"/>
          <w:lang w:val="en-US"/>
        </w:rPr>
        <w:t>: 210,000,000 m³ (2008 est.)</w:t>
      </w:r>
    </w:p>
    <w:p w:rsidR="00570223" w:rsidRPr="00570223" w:rsidRDefault="00570223" w:rsidP="00570223">
      <w:pPr>
        <w:numPr>
          <w:ilvl w:val="0"/>
          <w:numId w:val="1"/>
        </w:numPr>
        <w:shd w:val="clear" w:color="auto" w:fill="FFFFFF"/>
        <w:spacing w:before="100" w:beforeAutospacing="1" w:after="24" w:line="336" w:lineRule="atLeast"/>
        <w:ind w:left="384"/>
        <w:rPr>
          <w:rFonts w:ascii="Arial" w:hAnsi="Arial" w:cs="Arial"/>
          <w:color w:val="252525"/>
          <w:sz w:val="21"/>
          <w:szCs w:val="21"/>
          <w:lang w:val="en-US"/>
        </w:rPr>
      </w:pPr>
      <w:r w:rsidRPr="00570223">
        <w:rPr>
          <w:rFonts w:ascii="Arial" w:hAnsi="Arial" w:cs="Arial"/>
          <w:b/>
          <w:bCs/>
          <w:color w:val="252525"/>
          <w:sz w:val="21"/>
          <w:szCs w:val="21"/>
          <w:lang w:val="en-US"/>
        </w:rPr>
        <w:t>Natural gas - imports</w:t>
      </w:r>
      <w:r w:rsidRPr="00570223">
        <w:rPr>
          <w:rFonts w:ascii="Arial" w:hAnsi="Arial" w:cs="Arial"/>
          <w:color w:val="252525"/>
          <w:sz w:val="21"/>
          <w:szCs w:val="21"/>
          <w:lang w:val="en-US"/>
        </w:rPr>
        <w:t>: 76.86 km³ (2008 est.)</w:t>
      </w:r>
    </w:p>
    <w:p w:rsidR="00570223" w:rsidRPr="00570223" w:rsidRDefault="00570223" w:rsidP="00570223">
      <w:pPr>
        <w:numPr>
          <w:ilvl w:val="0"/>
          <w:numId w:val="1"/>
        </w:numPr>
        <w:shd w:val="clear" w:color="auto" w:fill="FFFFFF"/>
        <w:spacing w:before="100" w:beforeAutospacing="1" w:after="24" w:line="336" w:lineRule="atLeast"/>
        <w:ind w:left="384"/>
        <w:rPr>
          <w:rFonts w:ascii="Arial" w:hAnsi="Arial" w:cs="Arial"/>
          <w:color w:val="252525"/>
          <w:sz w:val="21"/>
          <w:szCs w:val="21"/>
          <w:lang w:val="en-US"/>
        </w:rPr>
      </w:pPr>
      <w:r w:rsidRPr="00570223">
        <w:rPr>
          <w:rFonts w:ascii="Arial" w:hAnsi="Arial" w:cs="Arial"/>
          <w:b/>
          <w:bCs/>
          <w:color w:val="252525"/>
          <w:sz w:val="21"/>
          <w:szCs w:val="21"/>
          <w:lang w:val="en-US"/>
        </w:rPr>
        <w:t>Natural gas - proved reserves</w:t>
      </w:r>
      <w:r w:rsidRPr="00570223">
        <w:rPr>
          <w:rFonts w:ascii="Arial" w:hAnsi="Arial" w:cs="Arial"/>
          <w:color w:val="252525"/>
          <w:sz w:val="21"/>
          <w:szCs w:val="21"/>
          <w:lang w:val="en-US"/>
        </w:rPr>
        <w:t>: 94.15 km³ (1 January 2009 est.)</w:t>
      </w:r>
    </w:p>
    <w:p w:rsidR="00570223" w:rsidRPr="00570223" w:rsidRDefault="00570223" w:rsidP="00570223">
      <w:pPr>
        <w:numPr>
          <w:ilvl w:val="0"/>
          <w:numId w:val="1"/>
        </w:numPr>
        <w:shd w:val="clear" w:color="auto" w:fill="FFFFFF"/>
        <w:spacing w:before="100" w:beforeAutospacing="1" w:after="24" w:line="336" w:lineRule="atLeast"/>
        <w:ind w:left="384"/>
        <w:rPr>
          <w:rFonts w:ascii="Arial" w:hAnsi="Arial" w:cs="Arial"/>
          <w:color w:val="252525"/>
          <w:sz w:val="21"/>
          <w:szCs w:val="21"/>
          <w:lang w:val="en-US"/>
        </w:rPr>
      </w:pPr>
      <w:r w:rsidRPr="00570223">
        <w:rPr>
          <w:rFonts w:ascii="Arial" w:hAnsi="Arial" w:cs="Arial"/>
          <w:b/>
          <w:bCs/>
          <w:color w:val="252525"/>
          <w:sz w:val="21"/>
          <w:szCs w:val="21"/>
          <w:lang w:val="en-US"/>
        </w:rPr>
        <w:t>Current account balance</w:t>
      </w:r>
      <w:r w:rsidRPr="00570223">
        <w:rPr>
          <w:rFonts w:ascii="Arial" w:hAnsi="Arial" w:cs="Arial"/>
          <w:color w:val="252525"/>
          <w:sz w:val="21"/>
          <w:szCs w:val="21"/>
          <w:lang w:val="en-US"/>
        </w:rPr>
        <w:t>: $55.44 billion (2009 est.), -$78.03 billion (2008 est.)</w:t>
      </w:r>
    </w:p>
    <w:p w:rsidR="00570223" w:rsidRPr="00570223" w:rsidRDefault="00570223" w:rsidP="00570223">
      <w:pPr>
        <w:numPr>
          <w:ilvl w:val="0"/>
          <w:numId w:val="1"/>
        </w:numPr>
        <w:shd w:val="clear" w:color="auto" w:fill="FFFFFF"/>
        <w:spacing w:before="100" w:beforeAutospacing="1" w:after="24" w:line="336" w:lineRule="atLeast"/>
        <w:ind w:left="384"/>
        <w:rPr>
          <w:rFonts w:ascii="Arial" w:hAnsi="Arial" w:cs="Arial"/>
          <w:color w:val="252525"/>
          <w:sz w:val="21"/>
          <w:szCs w:val="21"/>
          <w:lang w:val="en-US"/>
        </w:rPr>
      </w:pPr>
      <w:r w:rsidRPr="00570223">
        <w:rPr>
          <w:rFonts w:ascii="Arial" w:hAnsi="Arial" w:cs="Arial"/>
          <w:b/>
          <w:bCs/>
          <w:color w:val="252525"/>
          <w:sz w:val="21"/>
          <w:szCs w:val="21"/>
          <w:lang w:val="en-US"/>
        </w:rPr>
        <w:t>Reserves of foreign exchange and gold</w:t>
      </w:r>
      <w:r w:rsidRPr="00570223">
        <w:rPr>
          <w:rFonts w:ascii="Arial" w:hAnsi="Arial" w:cs="Arial"/>
          <w:color w:val="252525"/>
          <w:sz w:val="21"/>
          <w:szCs w:val="21"/>
          <w:lang w:val="en-US"/>
        </w:rPr>
        <w:t>: $NA (31 December 2009 est.), $105.3 billion (31 December 2008 est.)</w:t>
      </w:r>
    </w:p>
    <w:p w:rsidR="00570223" w:rsidRPr="00570223" w:rsidRDefault="00570223" w:rsidP="00570223">
      <w:pPr>
        <w:numPr>
          <w:ilvl w:val="0"/>
          <w:numId w:val="1"/>
        </w:numPr>
        <w:shd w:val="clear" w:color="auto" w:fill="FFFFFF"/>
        <w:spacing w:before="100" w:beforeAutospacing="1" w:after="24" w:line="336" w:lineRule="atLeast"/>
        <w:ind w:left="384"/>
        <w:rPr>
          <w:rFonts w:ascii="Arial" w:hAnsi="Arial" w:cs="Arial"/>
          <w:color w:val="252525"/>
          <w:sz w:val="21"/>
          <w:szCs w:val="21"/>
          <w:lang w:val="en-US"/>
        </w:rPr>
      </w:pPr>
      <w:r w:rsidRPr="00570223">
        <w:rPr>
          <w:rFonts w:ascii="Arial" w:hAnsi="Arial" w:cs="Arial"/>
          <w:b/>
          <w:bCs/>
          <w:color w:val="252525"/>
          <w:sz w:val="21"/>
          <w:szCs w:val="21"/>
          <w:lang w:val="en-US"/>
        </w:rPr>
        <w:t>Debt - external</w:t>
      </w:r>
      <w:r w:rsidRPr="00570223">
        <w:rPr>
          <w:rFonts w:ascii="Arial" w:hAnsi="Arial" w:cs="Arial"/>
          <w:color w:val="252525"/>
          <w:sz w:val="21"/>
          <w:szCs w:val="21"/>
          <w:lang w:val="en-US"/>
        </w:rPr>
        <w:t>: $NA (31 December 2009 est.), $2.328 trillion (31 December 2008)</w:t>
      </w:r>
    </w:p>
    <w:p w:rsidR="00570223" w:rsidRPr="00570223" w:rsidRDefault="00570223" w:rsidP="00570223">
      <w:pPr>
        <w:numPr>
          <w:ilvl w:val="0"/>
          <w:numId w:val="1"/>
        </w:numPr>
        <w:shd w:val="clear" w:color="auto" w:fill="FFFFFF"/>
        <w:spacing w:before="100" w:beforeAutospacing="1" w:after="24" w:line="336" w:lineRule="atLeast"/>
        <w:ind w:left="384"/>
        <w:rPr>
          <w:rFonts w:ascii="Arial" w:hAnsi="Arial" w:cs="Arial"/>
          <w:color w:val="252525"/>
          <w:sz w:val="21"/>
          <w:szCs w:val="21"/>
          <w:lang w:val="en-US"/>
        </w:rPr>
      </w:pPr>
      <w:r w:rsidRPr="00570223">
        <w:rPr>
          <w:rFonts w:ascii="Arial" w:hAnsi="Arial" w:cs="Arial"/>
          <w:b/>
          <w:bCs/>
          <w:color w:val="252525"/>
          <w:sz w:val="21"/>
          <w:szCs w:val="21"/>
          <w:lang w:val="en-US"/>
        </w:rPr>
        <w:t>Stock of direct foreign investment - at home</w:t>
      </w:r>
      <w:r w:rsidRPr="00570223">
        <w:rPr>
          <w:rFonts w:ascii="Arial" w:hAnsi="Arial" w:cs="Arial"/>
          <w:color w:val="252525"/>
          <w:sz w:val="21"/>
          <w:szCs w:val="21"/>
          <w:lang w:val="en-US"/>
        </w:rPr>
        <w:t>: $386.7 billion (31 December 2009 est.), $376.6 billion (31 December 2008 est.)</w:t>
      </w:r>
    </w:p>
    <w:p w:rsidR="00570223" w:rsidRPr="00570223" w:rsidRDefault="00570223" w:rsidP="00570223">
      <w:pPr>
        <w:numPr>
          <w:ilvl w:val="0"/>
          <w:numId w:val="1"/>
        </w:numPr>
        <w:shd w:val="clear" w:color="auto" w:fill="FFFFFF"/>
        <w:spacing w:before="100" w:beforeAutospacing="1" w:after="24" w:line="336" w:lineRule="atLeast"/>
        <w:ind w:left="384"/>
        <w:rPr>
          <w:rFonts w:ascii="Arial" w:hAnsi="Arial" w:cs="Arial"/>
          <w:color w:val="252525"/>
          <w:sz w:val="21"/>
          <w:szCs w:val="21"/>
          <w:lang w:val="en-US"/>
        </w:rPr>
      </w:pPr>
      <w:r w:rsidRPr="00570223">
        <w:rPr>
          <w:rFonts w:ascii="Arial" w:hAnsi="Arial" w:cs="Arial"/>
          <w:b/>
          <w:bCs/>
          <w:color w:val="252525"/>
          <w:sz w:val="21"/>
          <w:szCs w:val="21"/>
          <w:lang w:val="en-US"/>
        </w:rPr>
        <w:t>Stock of direct foreign investment - abroad</w:t>
      </w:r>
      <w:r w:rsidRPr="00570223">
        <w:rPr>
          <w:rFonts w:ascii="Arial" w:hAnsi="Arial" w:cs="Arial"/>
          <w:color w:val="252525"/>
          <w:sz w:val="21"/>
          <w:szCs w:val="21"/>
          <w:lang w:val="en-US"/>
        </w:rPr>
        <w:t>:$610.5 billion (31 December 2009 est.), $565.3 billion (31 December 2008 est.)</w:t>
      </w:r>
    </w:p>
    <w:p w:rsidR="00570223" w:rsidRPr="00570223" w:rsidRDefault="00570223" w:rsidP="00570223">
      <w:pPr>
        <w:numPr>
          <w:ilvl w:val="0"/>
          <w:numId w:val="1"/>
        </w:numPr>
        <w:shd w:val="clear" w:color="auto" w:fill="FFFFFF"/>
        <w:spacing w:before="100" w:beforeAutospacing="1" w:after="24" w:line="336" w:lineRule="atLeast"/>
        <w:ind w:left="384"/>
        <w:rPr>
          <w:rFonts w:ascii="Arial" w:hAnsi="Arial" w:cs="Arial"/>
          <w:color w:val="252525"/>
          <w:sz w:val="21"/>
          <w:szCs w:val="21"/>
          <w:lang w:val="en-US"/>
        </w:rPr>
      </w:pPr>
      <w:r w:rsidRPr="00570223">
        <w:rPr>
          <w:rFonts w:ascii="Arial" w:hAnsi="Arial" w:cs="Arial"/>
          <w:b/>
          <w:bCs/>
          <w:color w:val="252525"/>
          <w:sz w:val="21"/>
          <w:szCs w:val="21"/>
          <w:lang w:val="en-US"/>
        </w:rPr>
        <w:t>Exchange rates</w:t>
      </w:r>
      <w:r w:rsidRPr="00570223">
        <w:rPr>
          <w:rFonts w:ascii="Arial" w:hAnsi="Arial" w:cs="Arial"/>
          <w:color w:val="252525"/>
          <w:sz w:val="21"/>
          <w:szCs w:val="21"/>
          <w:lang w:val="en-US"/>
        </w:rPr>
        <w:t>: euros (EUR) per US dollar - 0.7153 (2009), 0.6827 (2008), 0.7345 (2007), 0.7964 (2006), 0.8041 (2005)</w:t>
      </w:r>
    </w:p>
    <w:p w:rsidR="00570223" w:rsidRPr="009B34CE" w:rsidRDefault="00570223" w:rsidP="006A4EA7">
      <w:pPr>
        <w:pStyle w:val="NormalWeb"/>
        <w:shd w:val="clear" w:color="auto" w:fill="FFFFFF"/>
        <w:spacing w:before="120" w:beforeAutospacing="0" w:after="120" w:afterAutospacing="0" w:line="336" w:lineRule="atLeast"/>
        <w:ind w:left="-567" w:right="-625"/>
        <w:jc w:val="both"/>
        <w:rPr>
          <w:lang w:val="en-US"/>
        </w:rPr>
      </w:pPr>
    </w:p>
    <w:sectPr w:rsidR="00570223" w:rsidRPr="009B34CE" w:rsidSect="00570223">
      <w:pgSz w:w="11906" w:h="16838"/>
      <w:pgMar w:top="1134" w:right="1800" w:bottom="851"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D23" w:rsidRDefault="00151D23" w:rsidP="00570223">
      <w:pPr>
        <w:spacing w:after="0" w:line="240" w:lineRule="auto"/>
      </w:pPr>
      <w:r>
        <w:separator/>
      </w:r>
    </w:p>
  </w:endnote>
  <w:endnote w:type="continuationSeparator" w:id="1">
    <w:p w:rsidR="00151D23" w:rsidRDefault="00151D23" w:rsidP="005702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altName w:val="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D23" w:rsidRDefault="00151D23" w:rsidP="00570223">
      <w:pPr>
        <w:spacing w:after="0" w:line="240" w:lineRule="auto"/>
      </w:pPr>
      <w:r>
        <w:separator/>
      </w:r>
    </w:p>
  </w:footnote>
  <w:footnote w:type="continuationSeparator" w:id="1">
    <w:p w:rsidR="00151D23" w:rsidRDefault="00151D23" w:rsidP="005702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61495"/>
    <w:multiLevelType w:val="multilevel"/>
    <w:tmpl w:val="029E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C339E"/>
    <w:rsid w:val="00151D23"/>
    <w:rsid w:val="003C26F7"/>
    <w:rsid w:val="004E0E39"/>
    <w:rsid w:val="005341F4"/>
    <w:rsid w:val="00570223"/>
    <w:rsid w:val="005C339E"/>
    <w:rsid w:val="006708CB"/>
    <w:rsid w:val="006A4EA7"/>
    <w:rsid w:val="00746E28"/>
    <w:rsid w:val="009B34CE"/>
    <w:rsid w:val="00C80D1E"/>
    <w:rsid w:val="00DA37A8"/>
    <w:rsid w:val="00E45ECE"/>
    <w:rsid w:val="00E942B7"/>
    <w:rsid w:val="00E966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39E"/>
    <w:rPr>
      <w:rFonts w:ascii="Calibri" w:eastAsia="Calibri" w:hAnsi="Calibri" w:cs="Times New Roman"/>
    </w:rPr>
  </w:style>
  <w:style w:type="paragraph" w:styleId="Heading2">
    <w:name w:val="heading 2"/>
    <w:basedOn w:val="Normal"/>
    <w:next w:val="Normal"/>
    <w:link w:val="Heading2Char"/>
    <w:uiPriority w:val="9"/>
    <w:semiHidden/>
    <w:unhideWhenUsed/>
    <w:qFormat/>
    <w:rsid w:val="005C339E"/>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C339E"/>
    <w:rPr>
      <w:rFonts w:ascii="Cambria" w:eastAsia="Times New Roman" w:hAnsi="Cambria" w:cs="Times New Roman"/>
      <w:b/>
      <w:bCs/>
      <w:color w:val="4F81BD"/>
      <w:sz w:val="26"/>
      <w:szCs w:val="26"/>
    </w:rPr>
  </w:style>
  <w:style w:type="character" w:styleId="Hyperlink">
    <w:name w:val="Hyperlink"/>
    <w:basedOn w:val="DefaultParagraphFont"/>
    <w:uiPriority w:val="99"/>
    <w:semiHidden/>
    <w:unhideWhenUsed/>
    <w:rsid w:val="005C339E"/>
    <w:rPr>
      <w:color w:val="0000FF"/>
      <w:u w:val="single"/>
    </w:rPr>
  </w:style>
  <w:style w:type="paragraph" w:styleId="NormalWeb">
    <w:name w:val="Normal (Web)"/>
    <w:basedOn w:val="Normal"/>
    <w:uiPriority w:val="99"/>
    <w:unhideWhenUsed/>
    <w:rsid w:val="005C339E"/>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converted-space">
    <w:name w:val="apple-converted-space"/>
    <w:basedOn w:val="DefaultParagraphFont"/>
    <w:rsid w:val="005C339E"/>
  </w:style>
  <w:style w:type="character" w:customStyle="1" w:styleId="mw-headline">
    <w:name w:val="mw-headline"/>
    <w:basedOn w:val="DefaultParagraphFont"/>
    <w:rsid w:val="005C339E"/>
  </w:style>
  <w:style w:type="character" w:customStyle="1" w:styleId="mw-editsection-bracket">
    <w:name w:val="mw-editsection-bracket"/>
    <w:basedOn w:val="DefaultParagraphFont"/>
    <w:rsid w:val="005C339E"/>
  </w:style>
  <w:style w:type="paragraph" w:styleId="BalloonText">
    <w:name w:val="Balloon Text"/>
    <w:basedOn w:val="Normal"/>
    <w:link w:val="BalloonTextChar"/>
    <w:uiPriority w:val="99"/>
    <w:semiHidden/>
    <w:unhideWhenUsed/>
    <w:rsid w:val="005C3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39E"/>
    <w:rPr>
      <w:rFonts w:ascii="Tahoma" w:eastAsia="Calibri" w:hAnsi="Tahoma" w:cs="Tahoma"/>
      <w:sz w:val="16"/>
      <w:szCs w:val="16"/>
    </w:rPr>
  </w:style>
  <w:style w:type="character" w:customStyle="1" w:styleId="mw-editsection">
    <w:name w:val="mw-editsection"/>
    <w:basedOn w:val="DefaultParagraphFont"/>
    <w:rsid w:val="00570223"/>
  </w:style>
  <w:style w:type="paragraph" w:styleId="Header">
    <w:name w:val="header"/>
    <w:basedOn w:val="Normal"/>
    <w:link w:val="HeaderChar"/>
    <w:uiPriority w:val="99"/>
    <w:semiHidden/>
    <w:unhideWhenUsed/>
    <w:rsid w:val="0057022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70223"/>
    <w:rPr>
      <w:rFonts w:ascii="Calibri" w:eastAsia="Calibri" w:hAnsi="Calibri" w:cs="Times New Roman"/>
    </w:rPr>
  </w:style>
  <w:style w:type="paragraph" w:styleId="Footer">
    <w:name w:val="footer"/>
    <w:basedOn w:val="Normal"/>
    <w:link w:val="FooterChar"/>
    <w:uiPriority w:val="99"/>
    <w:semiHidden/>
    <w:unhideWhenUsed/>
    <w:rsid w:val="0057022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7022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53853219">
      <w:bodyDiv w:val="1"/>
      <w:marLeft w:val="0"/>
      <w:marRight w:val="0"/>
      <w:marTop w:val="0"/>
      <w:marBottom w:val="0"/>
      <w:divBdr>
        <w:top w:val="none" w:sz="0" w:space="0" w:color="auto"/>
        <w:left w:val="none" w:sz="0" w:space="0" w:color="auto"/>
        <w:bottom w:val="none" w:sz="0" w:space="0" w:color="auto"/>
        <w:right w:val="none" w:sz="0" w:space="0" w:color="auto"/>
      </w:divBdr>
      <w:divsChild>
        <w:div w:id="1859346364">
          <w:marLeft w:val="240"/>
          <w:marRight w:val="0"/>
          <w:marTop w:val="0"/>
          <w:marBottom w:val="0"/>
          <w:divBdr>
            <w:top w:val="none" w:sz="0" w:space="0" w:color="auto"/>
            <w:left w:val="none" w:sz="0" w:space="0" w:color="auto"/>
            <w:bottom w:val="none" w:sz="0" w:space="0" w:color="auto"/>
            <w:right w:val="none" w:sz="0" w:space="0" w:color="auto"/>
          </w:divBdr>
        </w:div>
        <w:div w:id="1229026222">
          <w:marLeft w:val="240"/>
          <w:marRight w:val="300"/>
          <w:marTop w:val="0"/>
          <w:marBottom w:val="300"/>
          <w:divBdr>
            <w:top w:val="none" w:sz="0" w:space="0" w:color="auto"/>
            <w:left w:val="none" w:sz="0" w:space="0" w:color="auto"/>
            <w:bottom w:val="none" w:sz="0" w:space="0" w:color="auto"/>
            <w:right w:val="none" w:sz="0" w:space="0" w:color="auto"/>
          </w:divBdr>
        </w:div>
        <w:div w:id="2064479998">
          <w:marLeft w:val="240"/>
          <w:marRight w:val="0"/>
          <w:marTop w:val="0"/>
          <w:marBottom w:val="0"/>
          <w:divBdr>
            <w:top w:val="none" w:sz="0" w:space="0" w:color="auto"/>
            <w:left w:val="none" w:sz="0" w:space="0" w:color="auto"/>
            <w:bottom w:val="none" w:sz="0" w:space="0" w:color="auto"/>
            <w:right w:val="none" w:sz="0" w:space="0" w:color="auto"/>
          </w:divBdr>
        </w:div>
      </w:divsChild>
    </w:div>
    <w:div w:id="20877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PIL_Italia_2000-2011.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F9CAD-C687-454B-A5EE-741AF696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1473</Words>
  <Characters>7957</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ELINAKI</dc:creator>
  <cp:lastModifiedBy>Ιωάννα</cp:lastModifiedBy>
  <cp:revision>2</cp:revision>
  <dcterms:created xsi:type="dcterms:W3CDTF">2014-06-04T20:07:00Z</dcterms:created>
  <dcterms:modified xsi:type="dcterms:W3CDTF">2014-06-04T20:07:00Z</dcterms:modified>
</cp:coreProperties>
</file>