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12FB" w14:textId="77777777" w:rsidR="00D3019C" w:rsidRDefault="00D3019C"/>
    <w:sdt>
      <w:sdtPr>
        <w:id w:val="75855863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val="el-GR"/>
        </w:rPr>
      </w:sdtEndPr>
      <w:sdtContent>
        <w:p w14:paraId="73F775F6" w14:textId="4FADA11A" w:rsidR="00C2052C" w:rsidRDefault="00C2052C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132E57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C2052C" w14:paraId="68D74588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77544A4" w14:textId="2609C139" w:rsidR="00C2052C" w:rsidRDefault="00C2052C" w:rsidP="00ED48B5">
                <w:pPr>
                  <w:pStyle w:val="NoSpacing"/>
                  <w:rPr>
                    <w:color w:val="0E2241" w:themeColor="accent1" w:themeShade="BF"/>
                    <w:sz w:val="24"/>
                  </w:rPr>
                </w:pPr>
              </w:p>
            </w:tc>
          </w:tr>
          <w:tr w:rsidR="00C2052C" w14:paraId="20D5080F" w14:textId="77777777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132E57" w:themeColor="accent1"/>
                    <w:sz w:val="96"/>
                    <w:szCs w:val="96"/>
                  </w:rPr>
                  <w:alias w:val="Title"/>
                  <w:id w:val="13406919"/>
                  <w:placeholder>
                    <w:docPart w:val="91289432636340E1AF00E886D24418B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5935949" w14:textId="57F09144" w:rsidR="00C2052C" w:rsidRDefault="00C2052C" w:rsidP="00ED48B5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32E57" w:themeColor="accent1"/>
                        <w:sz w:val="88"/>
                        <w:szCs w:val="88"/>
                      </w:rPr>
                    </w:pPr>
                    <w:r w:rsidRPr="002C1E47">
                      <w:rPr>
                        <w:rFonts w:ascii="Times New Roman" w:eastAsiaTheme="majorEastAsia" w:hAnsi="Times New Roman" w:cs="Times New Roman"/>
                        <w:color w:val="132E57" w:themeColor="accent1"/>
                        <w:sz w:val="96"/>
                        <w:szCs w:val="96"/>
                      </w:rPr>
                      <w:t>Διαχείριση Επενδύσεων</w:t>
                    </w:r>
                  </w:p>
                </w:sdtContent>
              </w:sdt>
            </w:tc>
          </w:tr>
          <w:tr w:rsidR="00C2052C" w:rsidRPr="00025230" w14:paraId="2F6A741D" w14:textId="77777777">
            <w:sdt>
              <w:sdtPr>
                <w:rPr>
                  <w:rFonts w:ascii="Times New Roman" w:hAnsi="Times New Roman" w:cs="Times New Roman"/>
                  <w:color w:val="0E2241" w:themeColor="accent1" w:themeShade="BF"/>
                  <w:sz w:val="32"/>
                  <w:szCs w:val="32"/>
                  <w:lang w:val="el-GR"/>
                </w:rPr>
                <w:alias w:val="Subtitle"/>
                <w:id w:val="13406923"/>
                <w:placeholder>
                  <w:docPart w:val="AEB96B43C6F14B63A2BD94A6D96D6D0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7A2E651" w14:textId="0F10A637" w:rsidR="00C2052C" w:rsidRPr="002C1E47" w:rsidRDefault="00C2052C" w:rsidP="00B00AC7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color w:val="0E2241" w:themeColor="accent1" w:themeShade="BF"/>
                        <w:sz w:val="24"/>
                        <w:lang w:val="el-GR"/>
                      </w:rPr>
                    </w:pPr>
                    <w:r w:rsidRPr="00ED48B5">
                      <w:rPr>
                        <w:rFonts w:ascii="Times New Roman" w:hAnsi="Times New Roman" w:cs="Times New Roman"/>
                        <w:color w:val="0E2241" w:themeColor="accent1" w:themeShade="BF"/>
                        <w:sz w:val="32"/>
                        <w:szCs w:val="32"/>
                        <w:lang w:val="el-GR"/>
                      </w:rPr>
                      <w:t>Ονοματεπώνυμο: Γκικόπουλος Πέτρος                                                                  Αριθμός Μητρώου: 2170037                                                                                     E-mail: petrosgkiko@hotmail.com                                                              Διδάσκων: Α. Δράκος</w:t>
                    </w:r>
                  </w:p>
                </w:tc>
              </w:sdtContent>
            </w:sdt>
          </w:tr>
          <w:tr w:rsidR="002C1E47" w:rsidRPr="00025230" w14:paraId="64389E09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B9DEA77" w14:textId="77777777" w:rsidR="002C1E47" w:rsidRPr="002C1E47" w:rsidRDefault="002C1E47">
                <w:pPr>
                  <w:pStyle w:val="NoSpacing"/>
                  <w:rPr>
                    <w:rFonts w:ascii="Times New Roman" w:hAnsi="Times New Roman" w:cs="Times New Roman"/>
                    <w:color w:val="0E2241" w:themeColor="accent1" w:themeShade="BF"/>
                    <w:sz w:val="28"/>
                    <w:szCs w:val="28"/>
                    <w:lang w:val="el-GR"/>
                  </w:rPr>
                </w:pPr>
              </w:p>
            </w:tc>
          </w:tr>
        </w:tbl>
        <w:p w14:paraId="4B36CAAF" w14:textId="77777777" w:rsidR="0012106B" w:rsidRDefault="0012106B">
          <w:pPr>
            <w:rPr>
              <w:rFonts w:ascii="Times New Roman" w:hAnsi="Times New Roman" w:cs="Times New Roman"/>
              <w:lang w:val="el-GR"/>
            </w:rPr>
          </w:pPr>
        </w:p>
        <w:p w14:paraId="79204647" w14:textId="7A37D6C2" w:rsidR="00C2052C" w:rsidRDefault="00C2052C">
          <w:pPr>
            <w:rPr>
              <w:rFonts w:ascii="Times New Roman" w:hAnsi="Times New Roman" w:cs="Times New Roman"/>
              <w:lang w:val="el-GR"/>
            </w:rPr>
          </w:pPr>
          <w:r>
            <w:rPr>
              <w:rFonts w:ascii="Times New Roman" w:hAnsi="Times New Roman" w:cs="Times New Roman"/>
              <w:lang w:val="el-GR"/>
            </w:rPr>
            <w:br w:type="page"/>
          </w:r>
        </w:p>
      </w:sdtContent>
    </w:sdt>
    <w:p w14:paraId="2B9AFD62" w14:textId="77777777" w:rsidR="000F03D6" w:rsidRDefault="000F03D6" w:rsidP="00EA0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FBCD803" w14:textId="77777777" w:rsidR="00B20D60" w:rsidRDefault="00EA089A" w:rsidP="00EA0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CF76AA">
        <w:rPr>
          <w:rFonts w:ascii="Times New Roman" w:hAnsi="Times New Roman" w:cs="Times New Roman"/>
          <w:b/>
          <w:bCs/>
          <w:sz w:val="24"/>
          <w:szCs w:val="24"/>
          <w:lang w:val="el-GR"/>
        </w:rPr>
        <w:t>Περιεχόμενα</w:t>
      </w:r>
    </w:p>
    <w:p w14:paraId="2AB7A17D" w14:textId="77777777" w:rsidR="00150410" w:rsidRDefault="00150410" w:rsidP="00EA0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1BB0D4D" w14:textId="735AE209" w:rsidR="00CF76AA" w:rsidRPr="003870F0" w:rsidRDefault="00CF76AA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Εισαγωγή</w:t>
      </w:r>
      <w:r w:rsidR="0085499C" w:rsidRPr="003870F0">
        <w:rPr>
          <w:rFonts w:ascii="Times New Roman" w:hAnsi="Times New Roman" w:cs="Times New Roman"/>
          <w:lang w:val="el-GR"/>
        </w:rPr>
        <w:t>…………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3870F0">
        <w:rPr>
          <w:rFonts w:ascii="Times New Roman" w:hAnsi="Times New Roman" w:cs="Times New Roman"/>
          <w:lang w:val="en-US"/>
        </w:rPr>
        <w:t>...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……………</w:t>
      </w:r>
      <w:r w:rsidR="009926EF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.</w:t>
      </w:r>
      <w:r w:rsidR="006C2845">
        <w:rPr>
          <w:rFonts w:ascii="Times New Roman" w:hAnsi="Times New Roman" w:cs="Times New Roman"/>
          <w:lang w:val="en-US"/>
        </w:rPr>
        <w:t>2</w:t>
      </w:r>
    </w:p>
    <w:p w14:paraId="5FFA3B75" w14:textId="77777777" w:rsidR="00CF76AA" w:rsidRPr="00730028" w:rsidRDefault="00CF76AA" w:rsidP="00150410">
      <w:pPr>
        <w:jc w:val="both"/>
        <w:rPr>
          <w:rFonts w:ascii="Times New Roman" w:hAnsi="Times New Roman" w:cs="Times New Roman"/>
          <w:lang w:val="el-GR"/>
        </w:rPr>
      </w:pPr>
    </w:p>
    <w:p w14:paraId="1DC7D458" w14:textId="563183C6" w:rsidR="00CF76AA" w:rsidRPr="003870F0" w:rsidRDefault="00A546D6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Στρατηγική</w:t>
      </w:r>
      <w:r w:rsidR="0085499C" w:rsidRPr="003870F0">
        <w:rPr>
          <w:rFonts w:ascii="Times New Roman" w:hAnsi="Times New Roman" w:cs="Times New Roman"/>
          <w:lang w:val="el-GR"/>
        </w:rPr>
        <w:t>…………………………………</w:t>
      </w:r>
      <w:r w:rsidR="009926EF" w:rsidRPr="003870F0">
        <w:rPr>
          <w:rFonts w:ascii="Times New Roman" w:hAnsi="Times New Roman" w:cs="Times New Roman"/>
          <w:lang w:val="el-GR"/>
        </w:rPr>
        <w:t>..</w:t>
      </w:r>
      <w:r w:rsidR="0085499C" w:rsidRPr="003870F0">
        <w:rPr>
          <w:rFonts w:ascii="Times New Roman" w:hAnsi="Times New Roman" w:cs="Times New Roman"/>
          <w:lang w:val="el-GR"/>
        </w:rPr>
        <w:t>…………………………………</w:t>
      </w:r>
      <w:r w:rsidR="003870F0">
        <w:rPr>
          <w:rFonts w:ascii="Times New Roman" w:hAnsi="Times New Roman" w:cs="Times New Roman"/>
          <w:lang w:val="en-US"/>
        </w:rPr>
        <w:t>…</w:t>
      </w:r>
      <w:r w:rsidR="0085499C" w:rsidRPr="003870F0">
        <w:rPr>
          <w:rFonts w:ascii="Times New Roman" w:hAnsi="Times New Roman" w:cs="Times New Roman"/>
          <w:lang w:val="el-GR"/>
        </w:rPr>
        <w:t>………………..</w:t>
      </w:r>
      <w:r w:rsidR="006C2845">
        <w:rPr>
          <w:rFonts w:ascii="Times New Roman" w:hAnsi="Times New Roman" w:cs="Times New Roman"/>
          <w:lang w:val="en-US"/>
        </w:rPr>
        <w:t>2</w:t>
      </w:r>
    </w:p>
    <w:p w14:paraId="1629E978" w14:textId="77777777" w:rsidR="00A546D6" w:rsidRPr="00730028" w:rsidRDefault="00A546D6" w:rsidP="00150410">
      <w:pPr>
        <w:jc w:val="both"/>
        <w:rPr>
          <w:rFonts w:ascii="Times New Roman" w:hAnsi="Times New Roman" w:cs="Times New Roman"/>
          <w:lang w:val="el-GR"/>
        </w:rPr>
      </w:pPr>
    </w:p>
    <w:p w14:paraId="60EE6E98" w14:textId="434493EF" w:rsidR="00A546D6" w:rsidRPr="003870F0" w:rsidRDefault="00A546D6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Αξιολόγησης Μετοχών</w:t>
      </w:r>
      <w:r w:rsidR="0085499C" w:rsidRPr="003870F0">
        <w:rPr>
          <w:rFonts w:ascii="Times New Roman" w:hAnsi="Times New Roman" w:cs="Times New Roman"/>
          <w:lang w:val="el-GR"/>
        </w:rPr>
        <w:t>……………</w:t>
      </w:r>
      <w:r w:rsidR="00313964">
        <w:rPr>
          <w:rFonts w:ascii="Times New Roman" w:hAnsi="Times New Roman" w:cs="Times New Roman"/>
          <w:lang w:val="el-GR"/>
        </w:rPr>
        <w:t>…………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9926EF" w:rsidRPr="003870F0">
        <w:rPr>
          <w:rFonts w:ascii="Times New Roman" w:hAnsi="Times New Roman" w:cs="Times New Roman"/>
          <w:lang w:val="el-GR"/>
        </w:rPr>
        <w:t>……………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3870F0">
        <w:rPr>
          <w:rFonts w:ascii="Times New Roman" w:hAnsi="Times New Roman" w:cs="Times New Roman"/>
          <w:lang w:val="en-US"/>
        </w:rPr>
        <w:t>...</w:t>
      </w:r>
      <w:r w:rsidR="0085499C" w:rsidRPr="003870F0">
        <w:rPr>
          <w:rFonts w:ascii="Times New Roman" w:hAnsi="Times New Roman" w:cs="Times New Roman"/>
          <w:lang w:val="el-GR"/>
        </w:rPr>
        <w:t>…………………………..</w:t>
      </w:r>
      <w:r w:rsidR="006C2845">
        <w:rPr>
          <w:rFonts w:ascii="Times New Roman" w:hAnsi="Times New Roman" w:cs="Times New Roman"/>
          <w:lang w:val="en-US"/>
        </w:rPr>
        <w:t>2</w:t>
      </w:r>
    </w:p>
    <w:p w14:paraId="36159A6E" w14:textId="1B985A77" w:rsidR="00A546D6" w:rsidRPr="00F90501" w:rsidRDefault="00F90501" w:rsidP="0015041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</w:p>
    <w:p w14:paraId="75D2464C" w14:textId="50CDD6B1" w:rsidR="00A546D6" w:rsidRPr="003870F0" w:rsidRDefault="003B700E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Επιμερισμός Κεφαλαίου</w:t>
      </w:r>
      <w:r w:rsidR="0085499C" w:rsidRPr="003870F0">
        <w:rPr>
          <w:rFonts w:ascii="Times New Roman" w:hAnsi="Times New Roman" w:cs="Times New Roman"/>
          <w:lang w:val="el-GR"/>
        </w:rPr>
        <w:t>…………………</w:t>
      </w:r>
      <w:r w:rsidR="003870F0">
        <w:rPr>
          <w:rFonts w:ascii="Times New Roman" w:hAnsi="Times New Roman" w:cs="Times New Roman"/>
          <w:lang w:val="en-US"/>
        </w:rPr>
        <w:t>…</w:t>
      </w:r>
      <w:r w:rsidR="0085499C" w:rsidRPr="003870F0">
        <w:rPr>
          <w:rFonts w:ascii="Times New Roman" w:hAnsi="Times New Roman" w:cs="Times New Roman"/>
          <w:lang w:val="el-GR"/>
        </w:rPr>
        <w:t>……………………</w:t>
      </w:r>
      <w:r w:rsidR="009926EF" w:rsidRPr="003870F0">
        <w:rPr>
          <w:rFonts w:ascii="Times New Roman" w:hAnsi="Times New Roman" w:cs="Times New Roman"/>
          <w:lang w:val="el-GR"/>
        </w:rPr>
        <w:t>………..</w:t>
      </w:r>
      <w:r w:rsidR="0085499C" w:rsidRPr="003870F0">
        <w:rPr>
          <w:rFonts w:ascii="Times New Roman" w:hAnsi="Times New Roman" w:cs="Times New Roman"/>
          <w:lang w:val="el-GR"/>
        </w:rPr>
        <w:t>……………………….</w:t>
      </w:r>
      <w:r w:rsidR="006C2845">
        <w:rPr>
          <w:rFonts w:ascii="Times New Roman" w:hAnsi="Times New Roman" w:cs="Times New Roman"/>
          <w:lang w:val="en-US"/>
        </w:rPr>
        <w:t>4</w:t>
      </w:r>
    </w:p>
    <w:p w14:paraId="1EDFD7BC" w14:textId="77777777" w:rsidR="003B700E" w:rsidRPr="00730028" w:rsidRDefault="003B700E" w:rsidP="00150410">
      <w:pPr>
        <w:jc w:val="both"/>
        <w:rPr>
          <w:rFonts w:ascii="Times New Roman" w:hAnsi="Times New Roman" w:cs="Times New Roman"/>
          <w:lang w:val="el-GR"/>
        </w:rPr>
      </w:pPr>
    </w:p>
    <w:p w14:paraId="0C64002C" w14:textId="63F31479" w:rsidR="003B700E" w:rsidRPr="003870F0" w:rsidRDefault="00150410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Συναλλαγές</w:t>
      </w:r>
      <w:r w:rsidR="0085499C" w:rsidRPr="003870F0">
        <w:rPr>
          <w:rFonts w:ascii="Times New Roman" w:hAnsi="Times New Roman" w:cs="Times New Roman"/>
          <w:lang w:val="el-GR"/>
        </w:rPr>
        <w:t>…………</w:t>
      </w:r>
      <w:r w:rsidR="003870F0">
        <w:rPr>
          <w:rFonts w:ascii="Times New Roman" w:hAnsi="Times New Roman" w:cs="Times New Roman"/>
          <w:lang w:val="en-US"/>
        </w:rPr>
        <w:t>…...</w:t>
      </w:r>
      <w:r w:rsidR="0085499C" w:rsidRPr="003870F0">
        <w:rPr>
          <w:rFonts w:ascii="Times New Roman" w:hAnsi="Times New Roman" w:cs="Times New Roman"/>
          <w:lang w:val="el-GR"/>
        </w:rPr>
        <w:t>…………………………</w:t>
      </w:r>
      <w:r w:rsidR="00730028" w:rsidRPr="003870F0">
        <w:rPr>
          <w:rFonts w:ascii="Times New Roman" w:hAnsi="Times New Roman" w:cs="Times New Roman"/>
          <w:lang w:val="el-GR"/>
        </w:rPr>
        <w:t>………………...</w:t>
      </w:r>
      <w:r w:rsidR="0085499C" w:rsidRPr="003870F0">
        <w:rPr>
          <w:rFonts w:ascii="Times New Roman" w:hAnsi="Times New Roman" w:cs="Times New Roman"/>
          <w:lang w:val="el-GR"/>
        </w:rPr>
        <w:t>…………………………….</w:t>
      </w:r>
      <w:r w:rsidR="006C2845">
        <w:rPr>
          <w:rFonts w:ascii="Times New Roman" w:hAnsi="Times New Roman" w:cs="Times New Roman"/>
          <w:lang w:val="en-US"/>
        </w:rPr>
        <w:t>4</w:t>
      </w:r>
    </w:p>
    <w:p w14:paraId="7367464A" w14:textId="77777777" w:rsidR="00150410" w:rsidRPr="00730028" w:rsidRDefault="00150410" w:rsidP="00150410">
      <w:pPr>
        <w:jc w:val="both"/>
        <w:rPr>
          <w:rFonts w:ascii="Times New Roman" w:hAnsi="Times New Roman" w:cs="Times New Roman"/>
          <w:lang w:val="el-GR"/>
        </w:rPr>
      </w:pPr>
    </w:p>
    <w:p w14:paraId="5C006876" w14:textId="261C620D" w:rsidR="00150410" w:rsidRPr="003870F0" w:rsidRDefault="00150410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Ρευστοποίηση Χαρτοφυλακίου</w:t>
      </w:r>
      <w:r w:rsidR="0085499C" w:rsidRPr="003870F0">
        <w:rPr>
          <w:rFonts w:ascii="Times New Roman" w:hAnsi="Times New Roman" w:cs="Times New Roman"/>
          <w:lang w:val="el-GR"/>
        </w:rPr>
        <w:t>………………………</w:t>
      </w:r>
      <w:r w:rsidR="00730028" w:rsidRPr="003870F0">
        <w:rPr>
          <w:rFonts w:ascii="Times New Roman" w:hAnsi="Times New Roman" w:cs="Times New Roman"/>
          <w:lang w:val="el-GR"/>
        </w:rPr>
        <w:t>.</w:t>
      </w:r>
      <w:r w:rsidR="0085499C" w:rsidRPr="003870F0">
        <w:rPr>
          <w:rFonts w:ascii="Times New Roman" w:hAnsi="Times New Roman" w:cs="Times New Roman"/>
          <w:lang w:val="el-GR"/>
        </w:rPr>
        <w:t>…</w:t>
      </w:r>
      <w:r w:rsidR="003870F0">
        <w:rPr>
          <w:rFonts w:ascii="Times New Roman" w:hAnsi="Times New Roman" w:cs="Times New Roman"/>
          <w:lang w:val="en-US"/>
        </w:rPr>
        <w:t>…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730028" w:rsidRPr="003870F0">
        <w:rPr>
          <w:rFonts w:ascii="Times New Roman" w:hAnsi="Times New Roman" w:cs="Times New Roman"/>
          <w:lang w:val="el-GR"/>
        </w:rPr>
        <w:t>……</w:t>
      </w:r>
      <w:r w:rsidR="0085499C" w:rsidRPr="003870F0">
        <w:rPr>
          <w:rFonts w:ascii="Times New Roman" w:hAnsi="Times New Roman" w:cs="Times New Roman"/>
          <w:lang w:val="el-GR"/>
        </w:rPr>
        <w:t>…………………</w:t>
      </w:r>
      <w:r w:rsidR="00CF6FA0">
        <w:rPr>
          <w:rFonts w:ascii="Times New Roman" w:hAnsi="Times New Roman" w:cs="Times New Roman"/>
          <w:lang w:val="en-US"/>
        </w:rPr>
        <w:t>…</w:t>
      </w:r>
      <w:r w:rsidR="0085499C" w:rsidRPr="003870F0">
        <w:rPr>
          <w:rFonts w:ascii="Times New Roman" w:hAnsi="Times New Roman" w:cs="Times New Roman"/>
          <w:lang w:val="el-GR"/>
        </w:rPr>
        <w:t>……</w:t>
      </w:r>
      <w:r w:rsidR="006C2845">
        <w:rPr>
          <w:rFonts w:ascii="Times New Roman" w:hAnsi="Times New Roman" w:cs="Times New Roman"/>
          <w:lang w:val="en-US"/>
        </w:rPr>
        <w:t>…5</w:t>
      </w:r>
    </w:p>
    <w:p w14:paraId="16B46025" w14:textId="77777777" w:rsidR="00150410" w:rsidRPr="00730028" w:rsidRDefault="00150410" w:rsidP="00150410">
      <w:pPr>
        <w:jc w:val="both"/>
        <w:rPr>
          <w:rFonts w:ascii="Times New Roman" w:hAnsi="Times New Roman" w:cs="Times New Roman"/>
          <w:lang w:val="el-GR"/>
        </w:rPr>
      </w:pPr>
    </w:p>
    <w:p w14:paraId="20D926C9" w14:textId="0467728F" w:rsidR="00150410" w:rsidRPr="0022471E" w:rsidRDefault="00150410" w:rsidP="0038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3870F0">
        <w:rPr>
          <w:rFonts w:ascii="Times New Roman" w:hAnsi="Times New Roman" w:cs="Times New Roman"/>
          <w:lang w:val="el-GR"/>
        </w:rPr>
        <w:t>Συμπεράσματα</w:t>
      </w:r>
      <w:r w:rsidR="0085499C" w:rsidRPr="003870F0">
        <w:rPr>
          <w:rFonts w:ascii="Times New Roman" w:hAnsi="Times New Roman" w:cs="Times New Roman"/>
          <w:lang w:val="el-GR"/>
        </w:rPr>
        <w:t>……………………………</w:t>
      </w:r>
      <w:r w:rsidR="003870F0">
        <w:rPr>
          <w:rFonts w:ascii="Times New Roman" w:hAnsi="Times New Roman" w:cs="Times New Roman"/>
          <w:lang w:val="en-US"/>
        </w:rPr>
        <w:t>…</w:t>
      </w:r>
      <w:r w:rsidR="0085499C" w:rsidRPr="003870F0">
        <w:rPr>
          <w:rFonts w:ascii="Times New Roman" w:hAnsi="Times New Roman" w:cs="Times New Roman"/>
          <w:lang w:val="el-GR"/>
        </w:rPr>
        <w:t>………</w:t>
      </w:r>
      <w:r w:rsidR="00730028" w:rsidRPr="003870F0">
        <w:rPr>
          <w:rFonts w:ascii="Times New Roman" w:hAnsi="Times New Roman" w:cs="Times New Roman"/>
          <w:lang w:val="el-GR"/>
        </w:rPr>
        <w:t>………..</w:t>
      </w:r>
      <w:r w:rsidR="0085499C" w:rsidRPr="003870F0">
        <w:rPr>
          <w:rFonts w:ascii="Times New Roman" w:hAnsi="Times New Roman" w:cs="Times New Roman"/>
          <w:lang w:val="el-GR"/>
        </w:rPr>
        <w:t>……………………………………</w:t>
      </w:r>
      <w:r w:rsidR="0022471E">
        <w:rPr>
          <w:rFonts w:ascii="Times New Roman" w:hAnsi="Times New Roman" w:cs="Times New Roman"/>
          <w:lang w:val="el-GR"/>
        </w:rPr>
        <w:t>7</w:t>
      </w:r>
    </w:p>
    <w:p w14:paraId="3DA23991" w14:textId="7B978078" w:rsidR="0022471E" w:rsidRDefault="0022471E" w:rsidP="0022471E">
      <w:pPr>
        <w:ind w:left="360"/>
        <w:jc w:val="both"/>
        <w:rPr>
          <w:rFonts w:ascii="Times New Roman" w:hAnsi="Times New Roman" w:cs="Times New Roman"/>
          <w:lang w:val="el-GR"/>
        </w:rPr>
      </w:pPr>
    </w:p>
    <w:p w14:paraId="7E286FA7" w14:textId="6C5828E9" w:rsidR="0022471E" w:rsidRPr="0022471E" w:rsidRDefault="0022471E" w:rsidP="002247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Βιβλιογραφία</w:t>
      </w:r>
      <w:r w:rsidRPr="003870F0">
        <w:rPr>
          <w:rFonts w:ascii="Times New Roman" w:hAnsi="Times New Roman" w:cs="Times New Roman"/>
          <w:lang w:val="el-GR"/>
        </w:rPr>
        <w:t>……………………………</w:t>
      </w:r>
      <w:r>
        <w:rPr>
          <w:rFonts w:ascii="Times New Roman" w:hAnsi="Times New Roman" w:cs="Times New Roman"/>
          <w:lang w:val="en-US"/>
        </w:rPr>
        <w:t>…</w:t>
      </w:r>
      <w:r w:rsidRPr="003870F0">
        <w:rPr>
          <w:rFonts w:ascii="Times New Roman" w:hAnsi="Times New Roman" w:cs="Times New Roman"/>
          <w:lang w:val="el-GR"/>
        </w:rPr>
        <w:t>………………..……………………………………</w:t>
      </w:r>
      <w:r>
        <w:rPr>
          <w:rFonts w:ascii="Times New Roman" w:hAnsi="Times New Roman" w:cs="Times New Roman"/>
          <w:lang w:val="el-GR"/>
        </w:rPr>
        <w:t>..8</w:t>
      </w:r>
    </w:p>
    <w:p w14:paraId="45B1C177" w14:textId="77777777" w:rsidR="00150410" w:rsidRPr="00CF76AA" w:rsidRDefault="00150410" w:rsidP="00CF76AA">
      <w:pPr>
        <w:rPr>
          <w:rFonts w:ascii="Times New Roman" w:hAnsi="Times New Roman" w:cs="Times New Roman"/>
          <w:lang w:val="el-GR"/>
        </w:rPr>
      </w:pPr>
    </w:p>
    <w:p w14:paraId="4F57C0E8" w14:textId="77777777" w:rsidR="00EA089A" w:rsidRDefault="00EA089A" w:rsidP="00EA089A">
      <w:pPr>
        <w:rPr>
          <w:rFonts w:ascii="Times New Roman" w:hAnsi="Times New Roman" w:cs="Times New Roman"/>
          <w:lang w:val="el-GR"/>
        </w:rPr>
      </w:pPr>
    </w:p>
    <w:p w14:paraId="7490537A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5FDF6F4C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19BD99BE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19BFCD6A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6E38289B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7B7ABEFC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2EFDD357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5AA18BF1" w14:textId="77777777" w:rsidR="0085499C" w:rsidRDefault="0085499C" w:rsidP="00EA089A">
      <w:pPr>
        <w:rPr>
          <w:rFonts w:ascii="Times New Roman" w:hAnsi="Times New Roman" w:cs="Times New Roman"/>
          <w:lang w:val="el-GR"/>
        </w:rPr>
      </w:pPr>
    </w:p>
    <w:p w14:paraId="056A43E3" w14:textId="77777777" w:rsidR="00730028" w:rsidRDefault="00730028" w:rsidP="005D01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8BB1E26" w14:textId="77777777" w:rsidR="0085499C" w:rsidRPr="003870F0" w:rsidRDefault="004A5623" w:rsidP="003870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3870F0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Εισαγωγή</w:t>
      </w:r>
    </w:p>
    <w:p w14:paraId="6D08C9D6" w14:textId="4115C260" w:rsidR="00D63D8B" w:rsidRDefault="005D01A2" w:rsidP="005D01A2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Σκοπός της παρούσας εργασίας είναι </w:t>
      </w:r>
      <w:r w:rsidR="00450DE8">
        <w:rPr>
          <w:rFonts w:ascii="Times New Roman" w:hAnsi="Times New Roman" w:cs="Times New Roman"/>
          <w:lang w:val="el-GR"/>
        </w:rPr>
        <w:t>η σύνθεση και</w:t>
      </w:r>
      <w:r w:rsidR="00EA0984">
        <w:rPr>
          <w:rFonts w:ascii="Times New Roman" w:hAnsi="Times New Roman" w:cs="Times New Roman"/>
          <w:lang w:val="el-GR"/>
        </w:rPr>
        <w:t xml:space="preserve"> η</w:t>
      </w:r>
      <w:r w:rsidR="00450DE8">
        <w:rPr>
          <w:rFonts w:ascii="Times New Roman" w:hAnsi="Times New Roman" w:cs="Times New Roman"/>
          <w:lang w:val="el-GR"/>
        </w:rPr>
        <w:t xml:space="preserve"> παρακολούθηση ενός χαρτοφυλακίου μετοχών </w:t>
      </w:r>
      <w:r w:rsidR="00E30802">
        <w:rPr>
          <w:rFonts w:ascii="Times New Roman" w:hAnsi="Times New Roman" w:cs="Times New Roman"/>
          <w:lang w:val="el-GR"/>
        </w:rPr>
        <w:t>εισηγμένων στο Χρηματιστήριο Αξιών Αθηνών κ</w:t>
      </w:r>
      <w:r w:rsidR="00C8060E">
        <w:rPr>
          <w:rFonts w:ascii="Times New Roman" w:hAnsi="Times New Roman" w:cs="Times New Roman"/>
          <w:lang w:val="el-GR"/>
        </w:rPr>
        <w:t xml:space="preserve">αι εγγεγραμμένων στους δείκτες </w:t>
      </w:r>
      <w:r w:rsidR="00C8060E">
        <w:rPr>
          <w:rFonts w:ascii="Times New Roman" w:hAnsi="Times New Roman" w:cs="Times New Roman"/>
          <w:lang w:val="en-US"/>
        </w:rPr>
        <w:t>Large</w:t>
      </w:r>
      <w:r w:rsidR="00C8060E" w:rsidRPr="00C8060E">
        <w:rPr>
          <w:rFonts w:ascii="Times New Roman" w:hAnsi="Times New Roman" w:cs="Times New Roman"/>
          <w:lang w:val="el-GR"/>
        </w:rPr>
        <w:t xml:space="preserve"> </w:t>
      </w:r>
      <w:r w:rsidR="00C8060E">
        <w:rPr>
          <w:rFonts w:ascii="Times New Roman" w:hAnsi="Times New Roman" w:cs="Times New Roman"/>
          <w:lang w:val="en-US"/>
        </w:rPr>
        <w:t>Cap</w:t>
      </w:r>
      <w:r w:rsidR="00161DA9" w:rsidRPr="00161DA9">
        <w:rPr>
          <w:rFonts w:ascii="Times New Roman" w:hAnsi="Times New Roman" w:cs="Times New Roman"/>
          <w:lang w:val="el-GR"/>
        </w:rPr>
        <w:t xml:space="preserve"> </w:t>
      </w:r>
      <w:r w:rsidR="00161DA9">
        <w:rPr>
          <w:rFonts w:ascii="Times New Roman" w:hAnsi="Times New Roman" w:cs="Times New Roman"/>
          <w:lang w:val="el-GR"/>
        </w:rPr>
        <w:t xml:space="preserve">και </w:t>
      </w:r>
      <w:r w:rsidR="00161DA9">
        <w:rPr>
          <w:rFonts w:ascii="Times New Roman" w:hAnsi="Times New Roman" w:cs="Times New Roman"/>
          <w:lang w:val="en-US"/>
        </w:rPr>
        <w:t>Mid</w:t>
      </w:r>
      <w:r w:rsidR="00161DA9" w:rsidRPr="00161DA9">
        <w:rPr>
          <w:rFonts w:ascii="Times New Roman" w:hAnsi="Times New Roman" w:cs="Times New Roman"/>
          <w:lang w:val="el-GR"/>
        </w:rPr>
        <w:t xml:space="preserve"> </w:t>
      </w:r>
      <w:r w:rsidR="00161DA9">
        <w:rPr>
          <w:rFonts w:ascii="Times New Roman" w:hAnsi="Times New Roman" w:cs="Times New Roman"/>
          <w:lang w:val="en-US"/>
        </w:rPr>
        <w:t>Cap</w:t>
      </w:r>
      <w:r w:rsidR="00161DA9" w:rsidRPr="00161DA9">
        <w:rPr>
          <w:rFonts w:ascii="Times New Roman" w:hAnsi="Times New Roman" w:cs="Times New Roman"/>
          <w:lang w:val="el-GR"/>
        </w:rPr>
        <w:t xml:space="preserve">. </w:t>
      </w:r>
      <w:r w:rsidR="009472E5">
        <w:rPr>
          <w:rFonts w:ascii="Times New Roman" w:hAnsi="Times New Roman" w:cs="Times New Roman"/>
          <w:lang w:val="el-GR"/>
        </w:rPr>
        <w:t xml:space="preserve">Η παρακολούθηση του χαρτοφυλακίου έλαβε χώρα την χρονική περίοδο </w:t>
      </w:r>
      <w:r w:rsidR="000B1E5F">
        <w:rPr>
          <w:rFonts w:ascii="Times New Roman" w:hAnsi="Times New Roman" w:cs="Times New Roman"/>
          <w:lang w:val="el-GR"/>
        </w:rPr>
        <w:t xml:space="preserve">13 Απριλίου 2020 έως </w:t>
      </w:r>
      <w:r w:rsidR="002231E8">
        <w:rPr>
          <w:rFonts w:ascii="Times New Roman" w:hAnsi="Times New Roman" w:cs="Times New Roman"/>
          <w:lang w:val="el-GR"/>
        </w:rPr>
        <w:t>22 Μαΐου 2020</w:t>
      </w:r>
      <w:r w:rsidR="00043151">
        <w:rPr>
          <w:rFonts w:ascii="Times New Roman" w:hAnsi="Times New Roman" w:cs="Times New Roman"/>
          <w:lang w:val="el-GR"/>
        </w:rPr>
        <w:t xml:space="preserve"> στην οποία υπήρξαν 26 ημέρες </w:t>
      </w:r>
      <w:r w:rsidR="0098088E">
        <w:rPr>
          <w:rFonts w:ascii="Times New Roman" w:hAnsi="Times New Roman" w:cs="Times New Roman"/>
          <w:lang w:val="el-GR"/>
        </w:rPr>
        <w:t>διαχείρισης των μετοχών</w:t>
      </w:r>
      <w:r w:rsidR="007D7762">
        <w:rPr>
          <w:rFonts w:ascii="Times New Roman" w:hAnsi="Times New Roman" w:cs="Times New Roman"/>
          <w:lang w:val="el-GR"/>
        </w:rPr>
        <w:t xml:space="preserve"> και το αρχικό κεφάλαιο ανερχ</w:t>
      </w:r>
      <w:r w:rsidR="00C87007">
        <w:rPr>
          <w:rFonts w:ascii="Times New Roman" w:hAnsi="Times New Roman" w:cs="Times New Roman"/>
          <w:lang w:val="el-GR"/>
        </w:rPr>
        <w:t xml:space="preserve">όταν στις </w:t>
      </w:r>
      <w:r w:rsidR="00AE3D45">
        <w:rPr>
          <w:rFonts w:ascii="Times New Roman" w:hAnsi="Times New Roman" w:cs="Times New Roman"/>
          <w:lang w:val="el-GR"/>
        </w:rPr>
        <w:t>€</w:t>
      </w:r>
      <w:r w:rsidR="00C87007">
        <w:rPr>
          <w:rFonts w:ascii="Times New Roman" w:hAnsi="Times New Roman" w:cs="Times New Roman"/>
          <w:lang w:val="el-GR"/>
        </w:rPr>
        <w:t>100.000</w:t>
      </w:r>
      <w:r w:rsidR="00043151">
        <w:rPr>
          <w:rFonts w:ascii="Times New Roman" w:hAnsi="Times New Roman" w:cs="Times New Roman"/>
          <w:lang w:val="el-GR"/>
        </w:rPr>
        <w:t xml:space="preserve">. </w:t>
      </w:r>
      <w:r w:rsidR="00A1769A">
        <w:rPr>
          <w:rFonts w:ascii="Times New Roman" w:hAnsi="Times New Roman" w:cs="Times New Roman"/>
          <w:lang w:val="el-GR"/>
        </w:rPr>
        <w:t>Το πλαίσιο της εργασίας ορίζεται ως εξής</w:t>
      </w:r>
      <w:r w:rsidR="00A1769A" w:rsidRPr="00A1769A">
        <w:rPr>
          <w:rFonts w:ascii="Times New Roman" w:hAnsi="Times New Roman" w:cs="Times New Roman"/>
          <w:lang w:val="el-GR"/>
        </w:rPr>
        <w:t xml:space="preserve">: </w:t>
      </w:r>
      <w:r w:rsidR="006A723A">
        <w:rPr>
          <w:rFonts w:ascii="Times New Roman" w:hAnsi="Times New Roman" w:cs="Times New Roman"/>
          <w:lang w:val="el-GR"/>
        </w:rPr>
        <w:t>τα μετρητά διαθέσιμα δεν επιτρέπεται να ξεπερνούν το 30% του ημερήσιου κεφαλαίου</w:t>
      </w:r>
      <w:r w:rsidR="00D50172">
        <w:rPr>
          <w:rFonts w:ascii="Times New Roman" w:hAnsi="Times New Roman" w:cs="Times New Roman"/>
          <w:lang w:val="el-GR"/>
        </w:rPr>
        <w:t xml:space="preserve"> και </w:t>
      </w:r>
      <w:r w:rsidR="007167F7">
        <w:rPr>
          <w:rFonts w:ascii="Times New Roman" w:hAnsi="Times New Roman" w:cs="Times New Roman"/>
          <w:lang w:val="el-GR"/>
        </w:rPr>
        <w:t>ο ελάχιστος αριθμός των συναλλαγών ανέρχεται στις 7 με μέγιστο αριθμό συναλλαγών τις 15.</w:t>
      </w:r>
      <w:r w:rsidR="00020690">
        <w:rPr>
          <w:rFonts w:ascii="Times New Roman" w:hAnsi="Times New Roman" w:cs="Times New Roman"/>
          <w:lang w:val="el-GR"/>
        </w:rPr>
        <w:t xml:space="preserve"> Τα αποτελέσματα </w:t>
      </w:r>
      <w:r w:rsidR="00F3113E">
        <w:rPr>
          <w:rFonts w:ascii="Times New Roman" w:hAnsi="Times New Roman" w:cs="Times New Roman"/>
          <w:lang w:val="el-GR"/>
        </w:rPr>
        <w:t xml:space="preserve">της </w:t>
      </w:r>
      <w:r w:rsidR="00B16FA5">
        <w:rPr>
          <w:rFonts w:ascii="Times New Roman" w:hAnsi="Times New Roman" w:cs="Times New Roman"/>
          <w:lang w:val="el-GR"/>
        </w:rPr>
        <w:t>δ</w:t>
      </w:r>
      <w:r w:rsidR="007555CE">
        <w:rPr>
          <w:rFonts w:ascii="Times New Roman" w:hAnsi="Times New Roman" w:cs="Times New Roman"/>
          <w:lang w:val="el-GR"/>
        </w:rPr>
        <w:t>ιαχείρισης του χαρτοφυλακίου</w:t>
      </w:r>
      <w:r w:rsidR="00F3113E">
        <w:rPr>
          <w:rFonts w:ascii="Times New Roman" w:hAnsi="Times New Roman" w:cs="Times New Roman"/>
          <w:lang w:val="el-GR"/>
        </w:rPr>
        <w:t xml:space="preserve"> θα συγκριθούν με τα αντίστοιχα του Γενικού Δείκτη Χρηματιστηρίου Αθηνών</w:t>
      </w:r>
      <w:r w:rsidR="007D2F13">
        <w:rPr>
          <w:rFonts w:ascii="Times New Roman" w:hAnsi="Times New Roman" w:cs="Times New Roman"/>
          <w:lang w:val="el-GR"/>
        </w:rPr>
        <w:t xml:space="preserve"> σταθμισμένα </w:t>
      </w:r>
      <w:r w:rsidR="009023D6">
        <w:rPr>
          <w:rFonts w:ascii="Times New Roman" w:hAnsi="Times New Roman" w:cs="Times New Roman"/>
          <w:lang w:val="el-GR"/>
        </w:rPr>
        <w:t xml:space="preserve">με τον </w:t>
      </w:r>
      <w:r w:rsidR="00D15B34">
        <w:rPr>
          <w:rFonts w:ascii="Times New Roman" w:hAnsi="Times New Roman" w:cs="Times New Roman"/>
          <w:lang w:val="el-GR"/>
        </w:rPr>
        <w:t>αναλαμβανόμενο κίνδυνο</w:t>
      </w:r>
      <w:r w:rsidR="00FE4C63">
        <w:rPr>
          <w:rFonts w:ascii="Times New Roman" w:hAnsi="Times New Roman" w:cs="Times New Roman"/>
          <w:lang w:val="el-GR"/>
        </w:rPr>
        <w:t>.</w:t>
      </w:r>
    </w:p>
    <w:p w14:paraId="58F6EADA" w14:textId="2C35A231" w:rsidR="00BB188B" w:rsidRDefault="00BB188B" w:rsidP="00BB18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B188B">
        <w:rPr>
          <w:rFonts w:ascii="Times New Roman" w:hAnsi="Times New Roman" w:cs="Times New Roman"/>
          <w:b/>
          <w:bCs/>
          <w:sz w:val="24"/>
          <w:szCs w:val="24"/>
          <w:lang w:val="el-GR"/>
        </w:rPr>
        <w:t>Στρατηγική</w:t>
      </w:r>
    </w:p>
    <w:p w14:paraId="209BF277" w14:textId="1AD38F04" w:rsidR="00BB188B" w:rsidRPr="00F43B60" w:rsidRDefault="00595D68" w:rsidP="00BB188B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</w:t>
      </w:r>
      <w:r w:rsidR="00FA1859">
        <w:rPr>
          <w:rFonts w:ascii="Times New Roman" w:hAnsi="Times New Roman" w:cs="Times New Roman"/>
          <w:lang w:val="el-GR"/>
        </w:rPr>
        <w:t xml:space="preserve">επιλεχθείσα στρατηγική </w:t>
      </w:r>
      <w:r w:rsidR="000A787D">
        <w:rPr>
          <w:rFonts w:ascii="Times New Roman" w:hAnsi="Times New Roman" w:cs="Times New Roman"/>
          <w:lang w:val="el-GR"/>
        </w:rPr>
        <w:t>σύνθεσης</w:t>
      </w:r>
      <w:r w:rsidR="00EF6B3D">
        <w:rPr>
          <w:rFonts w:ascii="Times New Roman" w:hAnsi="Times New Roman" w:cs="Times New Roman"/>
          <w:lang w:val="el-GR"/>
        </w:rPr>
        <w:t xml:space="preserve"> και διαχείρισης του χαρτοφυλακίου επηρεάζεται άμεσα από τις </w:t>
      </w:r>
      <w:r w:rsidR="009256DA">
        <w:rPr>
          <w:rFonts w:ascii="Times New Roman" w:hAnsi="Times New Roman" w:cs="Times New Roman"/>
          <w:lang w:val="el-GR"/>
        </w:rPr>
        <w:t xml:space="preserve">επικρατούσες συνθήκες στο </w:t>
      </w:r>
      <w:r w:rsidR="00AA18E8">
        <w:rPr>
          <w:rFonts w:ascii="Times New Roman" w:hAnsi="Times New Roman" w:cs="Times New Roman"/>
          <w:lang w:val="el-GR"/>
        </w:rPr>
        <w:t xml:space="preserve">μακροοικονομικό περιβάλλον. Γνωρίζοντας εκ των προτέρων ότι το χαρτοφυλάκιο θα διαχειρισθεί </w:t>
      </w:r>
      <w:r w:rsidR="002E65D3">
        <w:rPr>
          <w:rFonts w:ascii="Times New Roman" w:hAnsi="Times New Roman" w:cs="Times New Roman"/>
          <w:lang w:val="el-GR"/>
        </w:rPr>
        <w:t xml:space="preserve">υπό τις </w:t>
      </w:r>
      <w:r w:rsidR="00A92605">
        <w:rPr>
          <w:rFonts w:ascii="Times New Roman" w:hAnsi="Times New Roman" w:cs="Times New Roman"/>
          <w:lang w:val="el-GR"/>
        </w:rPr>
        <w:t xml:space="preserve">συνθήκες της πανδημίας του </w:t>
      </w:r>
      <w:r w:rsidR="00A92605">
        <w:rPr>
          <w:rFonts w:ascii="Times New Roman" w:hAnsi="Times New Roman" w:cs="Times New Roman"/>
          <w:lang w:val="en-US"/>
        </w:rPr>
        <w:t>Covid</w:t>
      </w:r>
      <w:r w:rsidR="00A92605" w:rsidRPr="00A92605">
        <w:rPr>
          <w:rFonts w:ascii="Times New Roman" w:hAnsi="Times New Roman" w:cs="Times New Roman"/>
          <w:lang w:val="el-GR"/>
        </w:rPr>
        <w:t xml:space="preserve"> </w:t>
      </w:r>
      <w:r w:rsidR="00A92605">
        <w:rPr>
          <w:rFonts w:ascii="Times New Roman" w:hAnsi="Times New Roman" w:cs="Times New Roman"/>
          <w:lang w:val="el-GR"/>
        </w:rPr>
        <w:t>–</w:t>
      </w:r>
      <w:r w:rsidR="00A92605" w:rsidRPr="00A92605">
        <w:rPr>
          <w:rFonts w:ascii="Times New Roman" w:hAnsi="Times New Roman" w:cs="Times New Roman"/>
          <w:lang w:val="el-GR"/>
        </w:rPr>
        <w:t xml:space="preserve"> 19</w:t>
      </w:r>
      <w:r w:rsidR="00A92605">
        <w:rPr>
          <w:rFonts w:ascii="Times New Roman" w:hAnsi="Times New Roman" w:cs="Times New Roman"/>
          <w:lang w:val="el-GR"/>
        </w:rPr>
        <w:t xml:space="preserve"> αποφασίστηκε η επιλογή </w:t>
      </w:r>
      <w:r w:rsidR="00DB4687">
        <w:rPr>
          <w:rFonts w:ascii="Times New Roman" w:hAnsi="Times New Roman" w:cs="Times New Roman"/>
          <w:lang w:val="el-GR"/>
        </w:rPr>
        <w:t xml:space="preserve">ενός αμυντικού επενδυτικού </w:t>
      </w:r>
      <w:r w:rsidR="00DB4687">
        <w:rPr>
          <w:rFonts w:ascii="Times New Roman" w:hAnsi="Times New Roman" w:cs="Times New Roman"/>
          <w:lang w:val="en-US"/>
        </w:rPr>
        <w:t>profile</w:t>
      </w:r>
      <w:r w:rsidR="00DB4687">
        <w:rPr>
          <w:rFonts w:ascii="Times New Roman" w:hAnsi="Times New Roman" w:cs="Times New Roman"/>
          <w:lang w:val="el-GR"/>
        </w:rPr>
        <w:t xml:space="preserve"> </w:t>
      </w:r>
      <w:r w:rsidR="006B1F1A">
        <w:rPr>
          <w:rFonts w:ascii="Times New Roman" w:hAnsi="Times New Roman" w:cs="Times New Roman"/>
          <w:lang w:val="el-GR"/>
        </w:rPr>
        <w:t>με</w:t>
      </w:r>
      <w:r w:rsidR="00DB4687">
        <w:rPr>
          <w:rFonts w:ascii="Times New Roman" w:hAnsi="Times New Roman" w:cs="Times New Roman"/>
          <w:lang w:val="el-GR"/>
        </w:rPr>
        <w:t xml:space="preserve"> </w:t>
      </w:r>
      <w:r w:rsidR="006B1F1A">
        <w:rPr>
          <w:rFonts w:ascii="Times New Roman" w:hAnsi="Times New Roman" w:cs="Times New Roman"/>
          <w:lang w:val="el-GR"/>
        </w:rPr>
        <w:t xml:space="preserve">παράλληλη </w:t>
      </w:r>
      <w:r w:rsidR="00DB4687">
        <w:rPr>
          <w:rFonts w:ascii="Times New Roman" w:hAnsi="Times New Roman" w:cs="Times New Roman"/>
          <w:lang w:val="el-GR"/>
        </w:rPr>
        <w:t xml:space="preserve">διακράτηση υψηλών ποσών </w:t>
      </w:r>
      <w:r w:rsidR="006B1F1A">
        <w:rPr>
          <w:rFonts w:ascii="Times New Roman" w:hAnsi="Times New Roman" w:cs="Times New Roman"/>
          <w:lang w:val="el-GR"/>
        </w:rPr>
        <w:t>σε μετρητά.</w:t>
      </w:r>
      <w:r w:rsidR="00EB08BB">
        <w:rPr>
          <w:rFonts w:ascii="Times New Roman" w:hAnsi="Times New Roman" w:cs="Times New Roman"/>
          <w:lang w:val="el-GR"/>
        </w:rPr>
        <w:t xml:space="preserve"> </w:t>
      </w:r>
      <w:r w:rsidR="00FA6D55">
        <w:rPr>
          <w:rFonts w:ascii="Times New Roman" w:hAnsi="Times New Roman" w:cs="Times New Roman"/>
          <w:lang w:val="el-GR"/>
        </w:rPr>
        <w:t xml:space="preserve">Η μεθοδολογία με την οποία επιλέχθηκαν και συγκρίθηκαν οι </w:t>
      </w:r>
      <w:r w:rsidR="0018159C">
        <w:rPr>
          <w:rFonts w:ascii="Times New Roman" w:hAnsi="Times New Roman" w:cs="Times New Roman"/>
          <w:lang w:val="el-GR"/>
        </w:rPr>
        <w:t>45 μετοχές (</w:t>
      </w:r>
      <w:r w:rsidR="0018159C">
        <w:rPr>
          <w:rFonts w:ascii="Times New Roman" w:hAnsi="Times New Roman" w:cs="Times New Roman"/>
          <w:lang w:val="en-US"/>
        </w:rPr>
        <w:t>Large</w:t>
      </w:r>
      <w:r w:rsidR="0018159C" w:rsidRPr="0018159C">
        <w:rPr>
          <w:rFonts w:ascii="Times New Roman" w:hAnsi="Times New Roman" w:cs="Times New Roman"/>
          <w:lang w:val="el-GR"/>
        </w:rPr>
        <w:t xml:space="preserve"> </w:t>
      </w:r>
      <w:r w:rsidR="0018159C">
        <w:rPr>
          <w:rFonts w:ascii="Times New Roman" w:hAnsi="Times New Roman" w:cs="Times New Roman"/>
          <w:lang w:val="en-US"/>
        </w:rPr>
        <w:t>Cap</w:t>
      </w:r>
      <w:r w:rsidR="0018159C" w:rsidRPr="0018159C">
        <w:rPr>
          <w:rFonts w:ascii="Times New Roman" w:hAnsi="Times New Roman" w:cs="Times New Roman"/>
          <w:lang w:val="el-GR"/>
        </w:rPr>
        <w:t xml:space="preserve"> + </w:t>
      </w:r>
      <w:r w:rsidR="0018159C">
        <w:rPr>
          <w:rFonts w:ascii="Times New Roman" w:hAnsi="Times New Roman" w:cs="Times New Roman"/>
          <w:lang w:val="en-US"/>
        </w:rPr>
        <w:t>Mid</w:t>
      </w:r>
      <w:r w:rsidR="0018159C" w:rsidRPr="0018159C">
        <w:rPr>
          <w:rFonts w:ascii="Times New Roman" w:hAnsi="Times New Roman" w:cs="Times New Roman"/>
          <w:lang w:val="el-GR"/>
        </w:rPr>
        <w:t xml:space="preserve"> </w:t>
      </w:r>
      <w:r w:rsidR="0018159C">
        <w:rPr>
          <w:rFonts w:ascii="Times New Roman" w:hAnsi="Times New Roman" w:cs="Times New Roman"/>
          <w:lang w:val="en-US"/>
        </w:rPr>
        <w:t>Cap</w:t>
      </w:r>
      <w:r w:rsidR="0018159C" w:rsidRPr="0018159C">
        <w:rPr>
          <w:rFonts w:ascii="Times New Roman" w:hAnsi="Times New Roman" w:cs="Times New Roman"/>
          <w:lang w:val="el-GR"/>
        </w:rPr>
        <w:t xml:space="preserve">) </w:t>
      </w:r>
      <w:r w:rsidR="00F43B60">
        <w:rPr>
          <w:rFonts w:ascii="Times New Roman" w:hAnsi="Times New Roman" w:cs="Times New Roman"/>
          <w:lang w:val="el-GR"/>
        </w:rPr>
        <w:t xml:space="preserve">τείνει στην </w:t>
      </w:r>
      <w:r w:rsidR="00F43B60">
        <w:rPr>
          <w:rFonts w:ascii="Times New Roman" w:hAnsi="Times New Roman" w:cs="Times New Roman"/>
          <w:lang w:val="en-US"/>
        </w:rPr>
        <w:t>Bottom</w:t>
      </w:r>
      <w:r w:rsidR="00F43B60" w:rsidRPr="00F43B60">
        <w:rPr>
          <w:rFonts w:ascii="Times New Roman" w:hAnsi="Times New Roman" w:cs="Times New Roman"/>
          <w:lang w:val="el-GR"/>
        </w:rPr>
        <w:t xml:space="preserve"> </w:t>
      </w:r>
      <w:r w:rsidR="00F43B60">
        <w:rPr>
          <w:rFonts w:ascii="Times New Roman" w:hAnsi="Times New Roman" w:cs="Times New Roman"/>
          <w:lang w:val="el-GR"/>
        </w:rPr>
        <w:t>–</w:t>
      </w:r>
      <w:r w:rsidR="00F43B60" w:rsidRPr="00F43B60">
        <w:rPr>
          <w:rFonts w:ascii="Times New Roman" w:hAnsi="Times New Roman" w:cs="Times New Roman"/>
          <w:lang w:val="el-GR"/>
        </w:rPr>
        <w:t xml:space="preserve"> </w:t>
      </w:r>
      <w:r w:rsidR="00F43B60">
        <w:rPr>
          <w:rFonts w:ascii="Times New Roman" w:hAnsi="Times New Roman" w:cs="Times New Roman"/>
          <w:lang w:val="en-US"/>
        </w:rPr>
        <w:t>up</w:t>
      </w:r>
      <w:r w:rsidR="00F43B60" w:rsidRPr="00F43B60">
        <w:rPr>
          <w:rFonts w:ascii="Times New Roman" w:hAnsi="Times New Roman" w:cs="Times New Roman"/>
          <w:lang w:val="el-GR"/>
        </w:rPr>
        <w:t>.</w:t>
      </w:r>
    </w:p>
    <w:p w14:paraId="049FF99C" w14:textId="3898A193" w:rsidR="00D15B34" w:rsidRDefault="0074350D" w:rsidP="007435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74350D">
        <w:rPr>
          <w:rFonts w:ascii="Times New Roman" w:hAnsi="Times New Roman" w:cs="Times New Roman"/>
          <w:b/>
          <w:bCs/>
          <w:sz w:val="24"/>
          <w:szCs w:val="24"/>
          <w:lang w:val="el-GR"/>
        </w:rPr>
        <w:t>Αξιολόγησης Μετοχών</w:t>
      </w:r>
    </w:p>
    <w:tbl>
      <w:tblPr>
        <w:tblStyle w:val="ListTable6ColourfulAccent6"/>
        <w:tblpPr w:leftFromText="180" w:rightFromText="180" w:vertAnchor="text" w:horzAnchor="margin" w:tblpXSpec="center" w:tblpY="2133"/>
        <w:tblW w:w="9320" w:type="dxa"/>
        <w:tblLook w:val="04A0" w:firstRow="1" w:lastRow="0" w:firstColumn="1" w:lastColumn="0" w:noHBand="0" w:noVBand="1"/>
      </w:tblPr>
      <w:tblGrid>
        <w:gridCol w:w="558"/>
        <w:gridCol w:w="3690"/>
        <w:gridCol w:w="1022"/>
        <w:gridCol w:w="4050"/>
      </w:tblGrid>
      <w:tr w:rsidR="00ED030B" w:rsidRPr="007E5377" w14:paraId="11AB863D" w14:textId="77777777" w:rsidTr="00C3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1D07A288" w14:textId="77777777" w:rsidR="00081D93" w:rsidRPr="00D72FB4" w:rsidRDefault="00081D93" w:rsidP="00FB7EF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3690" w:type="dxa"/>
            <w:noWrap/>
            <w:hideMark/>
          </w:tcPr>
          <w:p w14:paraId="48F2F4E0" w14:textId="77777777" w:rsidR="00081D93" w:rsidRPr="00D72FB4" w:rsidRDefault="00081D93" w:rsidP="00FB7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Εταιρεία</w:t>
            </w:r>
          </w:p>
        </w:tc>
        <w:tc>
          <w:tcPr>
            <w:tcW w:w="1022" w:type="dxa"/>
            <w:noWrap/>
            <w:hideMark/>
          </w:tcPr>
          <w:p w14:paraId="2BA91B6E" w14:textId="7E03305E" w:rsidR="00081D93" w:rsidRPr="00D72FB4" w:rsidRDefault="00081D93" w:rsidP="00FB7EF3">
            <w:pPr>
              <w:tabs>
                <w:tab w:val="left" w:pos="258"/>
                <w:tab w:val="center" w:pos="7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Σύμβολο</w:t>
            </w:r>
          </w:p>
        </w:tc>
        <w:tc>
          <w:tcPr>
            <w:tcW w:w="4050" w:type="dxa"/>
            <w:noWrap/>
            <w:hideMark/>
          </w:tcPr>
          <w:p w14:paraId="118E0D93" w14:textId="77777777" w:rsidR="00081D93" w:rsidRPr="00D72FB4" w:rsidRDefault="00081D93" w:rsidP="00FB7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Κατηγορία Χ.Α.</w:t>
            </w:r>
          </w:p>
        </w:tc>
      </w:tr>
      <w:tr w:rsidR="007E056A" w:rsidRPr="00D72FB4" w14:paraId="2C88542B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C4990B9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90" w:type="dxa"/>
            <w:noWrap/>
            <w:hideMark/>
          </w:tcPr>
          <w:p w14:paraId="2D41FCBF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  <w:t>COCA-COLA HBC AG</w:t>
            </w:r>
          </w:p>
        </w:tc>
        <w:tc>
          <w:tcPr>
            <w:tcW w:w="1022" w:type="dxa"/>
            <w:noWrap/>
            <w:hideMark/>
          </w:tcPr>
          <w:p w14:paraId="578A08D2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ΕΕΕ</w:t>
            </w:r>
          </w:p>
        </w:tc>
        <w:tc>
          <w:tcPr>
            <w:tcW w:w="4050" w:type="dxa"/>
            <w:noWrap/>
            <w:hideMark/>
          </w:tcPr>
          <w:p w14:paraId="65814D88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</w:pPr>
            <w:r w:rsidRPr="00157F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Αναψυκτικά</w:t>
            </w:r>
          </w:p>
        </w:tc>
      </w:tr>
      <w:tr w:rsidR="00ED030B" w:rsidRPr="00D72FB4" w14:paraId="19CFED7A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0511AF78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90" w:type="dxa"/>
            <w:noWrap/>
            <w:hideMark/>
          </w:tcPr>
          <w:p w14:paraId="12854AC4" w14:textId="3439D3C3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ΟΡΓΑΝΙΣΜΟΣ ΤΗΛΕΠ/ΝΙΩΝ ΤΗΣ ΕΛΛΑ</w:t>
            </w:r>
            <w:r w:rsidR="00C3321C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ΔΟΣ</w:t>
            </w:r>
          </w:p>
        </w:tc>
        <w:tc>
          <w:tcPr>
            <w:tcW w:w="1022" w:type="dxa"/>
            <w:noWrap/>
            <w:hideMark/>
          </w:tcPr>
          <w:p w14:paraId="1E91EF36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ΟΤΕ</w:t>
            </w:r>
          </w:p>
        </w:tc>
        <w:tc>
          <w:tcPr>
            <w:tcW w:w="4050" w:type="dxa"/>
            <w:noWrap/>
            <w:hideMark/>
          </w:tcPr>
          <w:p w14:paraId="5F92B252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Υπ</w:t>
            </w:r>
            <w:r w:rsidRPr="00157F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ηρεσίες</w:t>
            </w: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Τηλεπικοινωνιών</w:t>
            </w:r>
          </w:p>
        </w:tc>
      </w:tr>
      <w:tr w:rsidR="007E056A" w:rsidRPr="00D72FB4" w14:paraId="33F2A24B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8D61432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690" w:type="dxa"/>
            <w:noWrap/>
            <w:hideMark/>
          </w:tcPr>
          <w:p w14:paraId="27D1A8D1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ΕΛΛΗΝΙΚΑ ΠΕΤΡΕΛΑΙΑ Α.Ε. (ΚΟ)</w:t>
            </w:r>
          </w:p>
        </w:tc>
        <w:tc>
          <w:tcPr>
            <w:tcW w:w="1022" w:type="dxa"/>
            <w:noWrap/>
            <w:hideMark/>
          </w:tcPr>
          <w:p w14:paraId="31462DEC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ΕΛΠΕ</w:t>
            </w:r>
          </w:p>
        </w:tc>
        <w:tc>
          <w:tcPr>
            <w:tcW w:w="4050" w:type="dxa"/>
            <w:noWrap/>
            <w:hideMark/>
          </w:tcPr>
          <w:p w14:paraId="6C5C81F6" w14:textId="355881E6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Πετ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 xml:space="preserve">ρέλαιο και </w:t>
            </w: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Φυσ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 xml:space="preserve">ικό </w:t>
            </w: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Α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έ</w:t>
            </w: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ρ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ιο</w:t>
            </w:r>
          </w:p>
        </w:tc>
      </w:tr>
      <w:tr w:rsidR="00ED030B" w:rsidRPr="00D72FB4" w14:paraId="5912E3A2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E48EEAF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90" w:type="dxa"/>
            <w:noWrap/>
            <w:hideMark/>
          </w:tcPr>
          <w:p w14:paraId="4EF9AECD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ΜΟΤΟΡ ΟΪΛ ΕΛΛΑΣ Α.Ε. (ΚΟ)</w:t>
            </w:r>
          </w:p>
        </w:tc>
        <w:tc>
          <w:tcPr>
            <w:tcW w:w="1022" w:type="dxa"/>
            <w:noWrap/>
            <w:hideMark/>
          </w:tcPr>
          <w:p w14:paraId="5BB3D8CB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ΜΟΗ</w:t>
            </w:r>
          </w:p>
        </w:tc>
        <w:tc>
          <w:tcPr>
            <w:tcW w:w="4050" w:type="dxa"/>
            <w:noWrap/>
            <w:hideMark/>
          </w:tcPr>
          <w:p w14:paraId="1D90DA49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Διυλιστήρια &amp; Εμπορία Πετρελαιοειδών</w:t>
            </w:r>
          </w:p>
        </w:tc>
      </w:tr>
      <w:tr w:rsidR="007E056A" w:rsidRPr="00D72FB4" w14:paraId="53F8E720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44B391C5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690" w:type="dxa"/>
            <w:noWrap/>
            <w:hideMark/>
          </w:tcPr>
          <w:p w14:paraId="37EC1D31" w14:textId="65188677" w:rsidR="00081D93" w:rsidRPr="00A122E7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Εθνική Τράπεζα της Ελλάδος (ΚΟ</w:t>
            </w:r>
            <w:r w:rsidR="00A122E7" w:rsidRPr="00A122E7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1022" w:type="dxa"/>
            <w:noWrap/>
            <w:hideMark/>
          </w:tcPr>
          <w:p w14:paraId="7828A67B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ΕΤΕ</w:t>
            </w:r>
          </w:p>
        </w:tc>
        <w:tc>
          <w:tcPr>
            <w:tcW w:w="4050" w:type="dxa"/>
            <w:noWrap/>
            <w:hideMark/>
          </w:tcPr>
          <w:p w14:paraId="4A87BA0A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Τράπεζες</w:t>
            </w:r>
          </w:p>
        </w:tc>
      </w:tr>
      <w:tr w:rsidR="00ED030B" w:rsidRPr="00D72FB4" w14:paraId="45CDA787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0EC79A22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690" w:type="dxa"/>
            <w:noWrap/>
            <w:hideMark/>
          </w:tcPr>
          <w:p w14:paraId="1A70C639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  <w:t>LAMDA DEVELOPMENT Α.Ε.</w:t>
            </w:r>
          </w:p>
        </w:tc>
        <w:tc>
          <w:tcPr>
            <w:tcW w:w="1022" w:type="dxa"/>
            <w:noWrap/>
            <w:hideMark/>
          </w:tcPr>
          <w:p w14:paraId="73713133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ΛΑΜΔΑ</w:t>
            </w:r>
          </w:p>
        </w:tc>
        <w:tc>
          <w:tcPr>
            <w:tcW w:w="4050" w:type="dxa"/>
            <w:noWrap/>
            <w:hideMark/>
          </w:tcPr>
          <w:p w14:paraId="58797014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Συμμετοχές &amp; Ανάπτυξη Ακίνητης Περιουσίας</w:t>
            </w:r>
          </w:p>
        </w:tc>
      </w:tr>
      <w:tr w:rsidR="007E056A" w:rsidRPr="00D72FB4" w14:paraId="39223CE8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DA0ADF8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690" w:type="dxa"/>
            <w:noWrap/>
            <w:hideMark/>
          </w:tcPr>
          <w:p w14:paraId="183F11AF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ΤΕΡΝΑ ΕΝΕΡΓΕΙΑΚΗ Α.Β.Ε.Τ.Ε.</w:t>
            </w:r>
          </w:p>
        </w:tc>
        <w:tc>
          <w:tcPr>
            <w:tcW w:w="1022" w:type="dxa"/>
            <w:noWrap/>
            <w:hideMark/>
          </w:tcPr>
          <w:p w14:paraId="46963387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ΤΕΝΕΡΓ</w:t>
            </w:r>
          </w:p>
        </w:tc>
        <w:tc>
          <w:tcPr>
            <w:tcW w:w="4050" w:type="dxa"/>
            <w:noWrap/>
            <w:hideMark/>
          </w:tcPr>
          <w:p w14:paraId="0B438A6D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Εναλλακτικός Ηλεκτρ.</w:t>
            </w:r>
          </w:p>
        </w:tc>
      </w:tr>
      <w:tr w:rsidR="00ED030B" w:rsidRPr="00D72FB4" w14:paraId="30E54717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1876ACB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690" w:type="dxa"/>
            <w:noWrap/>
            <w:hideMark/>
          </w:tcPr>
          <w:p w14:paraId="7318D7C4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ΓΡ. ΣΑΡΑΝΤΗΣ Α.Β.Ε.Ε. (ΚΟ)</w:t>
            </w:r>
          </w:p>
        </w:tc>
        <w:tc>
          <w:tcPr>
            <w:tcW w:w="1022" w:type="dxa"/>
            <w:noWrap/>
            <w:hideMark/>
          </w:tcPr>
          <w:p w14:paraId="1B1A7B4F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ΣΑΡ</w:t>
            </w:r>
          </w:p>
        </w:tc>
        <w:tc>
          <w:tcPr>
            <w:tcW w:w="4050" w:type="dxa"/>
            <w:noWrap/>
            <w:hideMark/>
          </w:tcPr>
          <w:p w14:paraId="61F937F9" w14:textId="3409C0A9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Είδη Προσωπ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ικής</w:t>
            </w: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Φροντ</w:t>
            </w:r>
            <w:r w:rsidR="0021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ίδας</w:t>
            </w:r>
          </w:p>
        </w:tc>
      </w:tr>
      <w:tr w:rsidR="007E056A" w:rsidRPr="00D72FB4" w14:paraId="1AB60B1E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66E50BF4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690" w:type="dxa"/>
            <w:noWrap/>
            <w:hideMark/>
          </w:tcPr>
          <w:p w14:paraId="7C087E3B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ΑΔΜΗΕ ΣΥΜΜΕΤΟΧΩΝ Α.Ε. (ΚΟ)</w:t>
            </w:r>
          </w:p>
        </w:tc>
        <w:tc>
          <w:tcPr>
            <w:tcW w:w="1022" w:type="dxa"/>
            <w:noWrap/>
            <w:hideMark/>
          </w:tcPr>
          <w:p w14:paraId="6CDFA188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ΑΔΜΗΕ</w:t>
            </w:r>
          </w:p>
        </w:tc>
        <w:tc>
          <w:tcPr>
            <w:tcW w:w="4050" w:type="dxa"/>
            <w:noWrap/>
            <w:hideMark/>
          </w:tcPr>
          <w:p w14:paraId="5A44C13C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Συμβατικός Ηλεκτρ.</w:t>
            </w:r>
          </w:p>
        </w:tc>
      </w:tr>
      <w:tr w:rsidR="00ED030B" w:rsidRPr="00D72FB4" w14:paraId="39178BD7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4D53C17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690" w:type="dxa"/>
            <w:noWrap/>
            <w:hideMark/>
          </w:tcPr>
          <w:p w14:paraId="136F0F0E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ΟΡΓΑΝΙΣΜΟΣ ΛΙΜΕΝΟΣ ΘΕΣ/ΚΗΣ(ΚΟ)</w:t>
            </w:r>
          </w:p>
        </w:tc>
        <w:tc>
          <w:tcPr>
            <w:tcW w:w="1022" w:type="dxa"/>
            <w:noWrap/>
            <w:hideMark/>
          </w:tcPr>
          <w:p w14:paraId="26A1579E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ΟΛΘ</w:t>
            </w:r>
          </w:p>
        </w:tc>
        <w:tc>
          <w:tcPr>
            <w:tcW w:w="4050" w:type="dxa"/>
            <w:noWrap/>
            <w:hideMark/>
          </w:tcPr>
          <w:p w14:paraId="16AAFF79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Υπηρεσίες Μεταφορών</w:t>
            </w:r>
          </w:p>
        </w:tc>
      </w:tr>
      <w:tr w:rsidR="007E056A" w:rsidRPr="00D72FB4" w14:paraId="3E6FA889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75C8A80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690" w:type="dxa"/>
            <w:noWrap/>
            <w:hideMark/>
          </w:tcPr>
          <w:p w14:paraId="143A30B6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  <w:t>ΙΑΣΩ ΑΕ (ΚΟ)</w:t>
            </w:r>
          </w:p>
        </w:tc>
        <w:tc>
          <w:tcPr>
            <w:tcW w:w="1022" w:type="dxa"/>
            <w:noWrap/>
            <w:hideMark/>
          </w:tcPr>
          <w:p w14:paraId="176B724A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ΙΑΣΩ</w:t>
            </w:r>
          </w:p>
        </w:tc>
        <w:tc>
          <w:tcPr>
            <w:tcW w:w="4050" w:type="dxa"/>
            <w:noWrap/>
            <w:hideMark/>
          </w:tcPr>
          <w:p w14:paraId="100C2EE4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Υγειονομικές Μονάδες</w:t>
            </w:r>
          </w:p>
        </w:tc>
      </w:tr>
      <w:tr w:rsidR="00ED030B" w:rsidRPr="00025230" w14:paraId="127019F5" w14:textId="77777777" w:rsidTr="00C3321C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5CA16317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690" w:type="dxa"/>
            <w:noWrap/>
            <w:hideMark/>
          </w:tcPr>
          <w:p w14:paraId="36634299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  <w:t>INTERCONTINENTAL INT.ΑΕΕΑΠ(ΚΟ)</w:t>
            </w:r>
          </w:p>
        </w:tc>
        <w:tc>
          <w:tcPr>
            <w:tcW w:w="1022" w:type="dxa"/>
            <w:noWrap/>
            <w:hideMark/>
          </w:tcPr>
          <w:p w14:paraId="18FEA7E0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ΙΝΤΕΡΚΟ</w:t>
            </w:r>
          </w:p>
        </w:tc>
        <w:tc>
          <w:tcPr>
            <w:tcW w:w="4050" w:type="dxa"/>
            <w:noWrap/>
            <w:hideMark/>
          </w:tcPr>
          <w:p w14:paraId="7C7AEA01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Διαφοροποιημένες Ε.Ε.Α.Π.</w:t>
            </w:r>
          </w:p>
        </w:tc>
      </w:tr>
      <w:tr w:rsidR="007E056A" w:rsidRPr="00D72FB4" w14:paraId="6731DC44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1A08D90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690" w:type="dxa"/>
            <w:noWrap/>
            <w:hideMark/>
          </w:tcPr>
          <w:p w14:paraId="3763CB0B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ΠΛΑΣΤΙΚΑ ΘΡΑΚΗΣ ΕΤ.ΣΥΜ. Α.Ε.Ε.</w:t>
            </w:r>
          </w:p>
        </w:tc>
        <w:tc>
          <w:tcPr>
            <w:tcW w:w="1022" w:type="dxa"/>
            <w:noWrap/>
            <w:hideMark/>
          </w:tcPr>
          <w:p w14:paraId="0A71370C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ΠΛΑΘ</w:t>
            </w:r>
          </w:p>
        </w:tc>
        <w:tc>
          <w:tcPr>
            <w:tcW w:w="4050" w:type="dxa"/>
            <w:noWrap/>
            <w:hideMark/>
          </w:tcPr>
          <w:p w14:paraId="345976DD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Πλαστικά</w:t>
            </w:r>
          </w:p>
        </w:tc>
      </w:tr>
      <w:tr w:rsidR="00ED030B" w:rsidRPr="00D72FB4" w14:paraId="488688D9" w14:textId="77777777" w:rsidTr="00C332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7EDC10B0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690" w:type="dxa"/>
            <w:noWrap/>
            <w:hideMark/>
          </w:tcPr>
          <w:p w14:paraId="5B793708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>ΕΛΤΟΝ ΔΙΕΘΝΟΥΣ ΕΜΠ. Α.Ε.Β.Ε.</w:t>
            </w:r>
          </w:p>
        </w:tc>
        <w:tc>
          <w:tcPr>
            <w:tcW w:w="1022" w:type="dxa"/>
            <w:noWrap/>
            <w:hideMark/>
          </w:tcPr>
          <w:p w14:paraId="54411AED" w14:textId="77777777" w:rsidR="00081D93" w:rsidRPr="005850EF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ΕΛΤΟΝ</w:t>
            </w:r>
          </w:p>
        </w:tc>
        <w:tc>
          <w:tcPr>
            <w:tcW w:w="4050" w:type="dxa"/>
            <w:noWrap/>
            <w:hideMark/>
          </w:tcPr>
          <w:p w14:paraId="60B2DAF3" w14:textId="77777777" w:rsidR="00081D93" w:rsidRPr="00D72FB4" w:rsidRDefault="00081D93" w:rsidP="0011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Προμηθευτές Βιομηχ.</w:t>
            </w:r>
          </w:p>
        </w:tc>
      </w:tr>
      <w:tr w:rsidR="007E056A" w:rsidRPr="00D72FB4" w14:paraId="491FF726" w14:textId="77777777" w:rsidTr="00C3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hideMark/>
          </w:tcPr>
          <w:p w14:paraId="6C3CCE3D" w14:textId="77777777" w:rsidR="00081D93" w:rsidRPr="00F93981" w:rsidRDefault="00081D93" w:rsidP="00081D9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9398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690" w:type="dxa"/>
            <w:noWrap/>
            <w:hideMark/>
          </w:tcPr>
          <w:p w14:paraId="73C0D917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</w:pP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GB"/>
              </w:rPr>
              <w:t>PROFILE</w:t>
            </w:r>
            <w:r w:rsidRPr="00D72FB4">
              <w:rPr>
                <w:rFonts w:ascii="Calibri" w:eastAsia="Times New Roman" w:hAnsi="Calibri" w:cs="Times New Roman"/>
                <w:color w:val="auto"/>
                <w:sz w:val="20"/>
                <w:szCs w:val="20"/>
                <w:lang w:val="el-GR" w:eastAsia="en-GB"/>
              </w:rPr>
              <w:t xml:space="preserve"> Α.Ε.Β.Ε. ΠΛΗΡΟΦΟΡΙΚΗΣ</w:t>
            </w:r>
          </w:p>
        </w:tc>
        <w:tc>
          <w:tcPr>
            <w:tcW w:w="1022" w:type="dxa"/>
            <w:noWrap/>
            <w:hideMark/>
          </w:tcPr>
          <w:p w14:paraId="48554CF4" w14:textId="77777777" w:rsidR="00081D93" w:rsidRPr="005850EF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50EF">
              <w:rPr>
                <w:rFonts w:ascii="Calibri" w:eastAsia="Times New Roman" w:hAnsi="Calibri" w:cs="Times New Roman"/>
                <w:color w:val="000000"/>
                <w:lang w:eastAsia="en-GB"/>
              </w:rPr>
              <w:t>ΠΡΟΦ</w:t>
            </w:r>
          </w:p>
        </w:tc>
        <w:tc>
          <w:tcPr>
            <w:tcW w:w="4050" w:type="dxa"/>
            <w:noWrap/>
            <w:hideMark/>
          </w:tcPr>
          <w:p w14:paraId="0B760163" w14:textId="77777777" w:rsidR="00081D93" w:rsidRPr="00D72FB4" w:rsidRDefault="00081D93" w:rsidP="0011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72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Υπηρεσίες Η/Υ</w:t>
            </w:r>
          </w:p>
        </w:tc>
      </w:tr>
    </w:tbl>
    <w:p w14:paraId="11BACA2F" w14:textId="25115A4E" w:rsidR="00F86002" w:rsidRDefault="008C17C5" w:rsidP="00402995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Έχοντας </w:t>
      </w:r>
      <w:r w:rsidR="00E41085">
        <w:rPr>
          <w:rFonts w:ascii="Times New Roman" w:hAnsi="Times New Roman" w:cs="Times New Roman"/>
          <w:lang w:val="el-GR"/>
        </w:rPr>
        <w:t>οριοθετήσει το</w:t>
      </w:r>
      <w:r w:rsidR="008665BA">
        <w:rPr>
          <w:rFonts w:ascii="Times New Roman" w:hAnsi="Times New Roman" w:cs="Times New Roman"/>
          <w:lang w:val="el-GR"/>
        </w:rPr>
        <w:t xml:space="preserve"> </w:t>
      </w:r>
      <w:r w:rsidR="000C328C">
        <w:rPr>
          <w:rFonts w:ascii="Times New Roman" w:hAnsi="Times New Roman" w:cs="Times New Roman"/>
          <w:lang w:val="el-GR"/>
        </w:rPr>
        <w:t>στρατηγικό</w:t>
      </w:r>
      <w:r w:rsidR="008665BA">
        <w:rPr>
          <w:rFonts w:ascii="Times New Roman" w:hAnsi="Times New Roman" w:cs="Times New Roman"/>
          <w:lang w:val="el-GR"/>
        </w:rPr>
        <w:t xml:space="preserve"> πλαίσιο εντός του οποίου θα ληφθούν οι αποφάσεις</w:t>
      </w:r>
      <w:r w:rsidR="00604256">
        <w:rPr>
          <w:rFonts w:ascii="Times New Roman" w:hAnsi="Times New Roman" w:cs="Times New Roman"/>
          <w:lang w:val="el-GR"/>
        </w:rPr>
        <w:t xml:space="preserve">, το ευρύτερο δείγμα </w:t>
      </w:r>
      <w:r w:rsidR="00147B4B">
        <w:rPr>
          <w:rFonts w:ascii="Times New Roman" w:hAnsi="Times New Roman" w:cs="Times New Roman"/>
          <w:lang w:val="el-GR"/>
        </w:rPr>
        <w:t>αποτελείτο</w:t>
      </w:r>
      <w:r w:rsidR="00604256">
        <w:rPr>
          <w:rFonts w:ascii="Times New Roman" w:hAnsi="Times New Roman" w:cs="Times New Roman"/>
          <w:lang w:val="el-GR"/>
        </w:rPr>
        <w:t xml:space="preserve"> </w:t>
      </w:r>
      <w:r w:rsidR="00147B4B">
        <w:rPr>
          <w:rFonts w:ascii="Times New Roman" w:hAnsi="Times New Roman" w:cs="Times New Roman"/>
          <w:lang w:val="el-GR"/>
        </w:rPr>
        <w:t>από 45 μετοχές μέτριας και υψηλής κεφαλαιοποίησης.</w:t>
      </w:r>
      <w:r w:rsidR="00047F87">
        <w:rPr>
          <w:rFonts w:ascii="Times New Roman" w:hAnsi="Times New Roman" w:cs="Times New Roman"/>
          <w:lang w:val="el-GR"/>
        </w:rPr>
        <w:t xml:space="preserve"> </w:t>
      </w:r>
      <w:r w:rsidR="00B10FC4">
        <w:rPr>
          <w:rFonts w:ascii="Times New Roman" w:hAnsi="Times New Roman" w:cs="Times New Roman"/>
          <w:lang w:val="el-GR"/>
        </w:rPr>
        <w:t>Σε πρώτο στάδιο, οι μετοχές αξιολογήθηκαν</w:t>
      </w:r>
      <w:r w:rsidR="00661CF7">
        <w:rPr>
          <w:rFonts w:ascii="Times New Roman" w:hAnsi="Times New Roman" w:cs="Times New Roman"/>
          <w:lang w:val="el-GR"/>
        </w:rPr>
        <w:t xml:space="preserve"> με βάση</w:t>
      </w:r>
      <w:r w:rsidR="00B10FC4">
        <w:rPr>
          <w:rFonts w:ascii="Times New Roman" w:hAnsi="Times New Roman" w:cs="Times New Roman"/>
          <w:lang w:val="el-GR"/>
        </w:rPr>
        <w:t xml:space="preserve"> τον συντελεστή συσχέτισης</w:t>
      </w:r>
      <w:r w:rsidR="00315C21">
        <w:rPr>
          <w:rFonts w:ascii="Times New Roman" w:hAnsi="Times New Roman" w:cs="Times New Roman"/>
          <w:lang w:val="el-GR"/>
        </w:rPr>
        <w:t xml:space="preserve"> και τον κλάδο στον οποίο </w:t>
      </w:r>
      <w:r w:rsidR="004136BD">
        <w:rPr>
          <w:rFonts w:ascii="Times New Roman" w:hAnsi="Times New Roman" w:cs="Times New Roman"/>
          <w:lang w:val="el-GR"/>
        </w:rPr>
        <w:t>δραστηριοποιούνται</w:t>
      </w:r>
      <w:r w:rsidR="00315C21">
        <w:rPr>
          <w:rFonts w:ascii="Times New Roman" w:hAnsi="Times New Roman" w:cs="Times New Roman"/>
          <w:lang w:val="el-GR"/>
        </w:rPr>
        <w:t xml:space="preserve"> οι οικονομικές οντότητες</w:t>
      </w:r>
      <w:r w:rsidR="00115642" w:rsidRPr="00C60C73">
        <w:rPr>
          <w:rFonts w:ascii="Times New Roman" w:hAnsi="Times New Roman" w:cs="Times New Roman"/>
          <w:color w:val="C00000"/>
          <w:lang w:val="el-GR"/>
        </w:rPr>
        <w:t>.</w:t>
      </w:r>
      <w:r w:rsidR="006C5AEF">
        <w:rPr>
          <w:rFonts w:ascii="Times New Roman" w:hAnsi="Times New Roman" w:cs="Times New Roman"/>
          <w:color w:val="C00000"/>
          <w:lang w:val="el-GR"/>
        </w:rPr>
        <w:t xml:space="preserve"> </w:t>
      </w:r>
      <w:r w:rsidR="00314663" w:rsidRPr="00A53471">
        <w:rPr>
          <w:rFonts w:ascii="Times New Roman" w:hAnsi="Times New Roman" w:cs="Times New Roman"/>
          <w:lang w:val="el-GR"/>
        </w:rPr>
        <w:t xml:space="preserve">Για τον προσδιορισμό του συντελεστή συσχέτισης των </w:t>
      </w:r>
      <w:r w:rsidR="0017446B" w:rsidRPr="00A53471">
        <w:rPr>
          <w:rFonts w:ascii="Times New Roman" w:hAnsi="Times New Roman" w:cs="Times New Roman"/>
          <w:lang w:val="el-GR"/>
        </w:rPr>
        <w:t>υπό</w:t>
      </w:r>
      <w:r w:rsidR="00314663" w:rsidRPr="00A53471">
        <w:rPr>
          <w:rFonts w:ascii="Times New Roman" w:hAnsi="Times New Roman" w:cs="Times New Roman"/>
          <w:lang w:val="el-GR"/>
        </w:rPr>
        <w:t xml:space="preserve"> εξέταση μετοχών</w:t>
      </w:r>
      <w:r w:rsidR="005074D7" w:rsidRPr="00A53471">
        <w:rPr>
          <w:rFonts w:ascii="Times New Roman" w:hAnsi="Times New Roman" w:cs="Times New Roman"/>
          <w:lang w:val="el-GR"/>
        </w:rPr>
        <w:t xml:space="preserve"> χρησιμοποιήθηκαν οι λογαριθμικές αποδόσεις των </w:t>
      </w:r>
      <w:r w:rsidR="00A53471" w:rsidRPr="00A53471">
        <w:rPr>
          <w:rFonts w:ascii="Times New Roman" w:hAnsi="Times New Roman" w:cs="Times New Roman"/>
          <w:lang w:val="el-GR"/>
        </w:rPr>
        <w:t xml:space="preserve">εταιρειών για το χρονικό διάστημα 27-03-19 έως 27-03-20. </w:t>
      </w:r>
      <w:r w:rsidR="00BE6674">
        <w:rPr>
          <w:rFonts w:ascii="Times New Roman" w:hAnsi="Times New Roman" w:cs="Times New Roman"/>
          <w:lang w:val="el-GR"/>
        </w:rPr>
        <w:t xml:space="preserve">Με βάση τα παραπάνω κριτήρια </w:t>
      </w:r>
      <w:r w:rsidR="00B2568D">
        <w:rPr>
          <w:rFonts w:ascii="Times New Roman" w:hAnsi="Times New Roman" w:cs="Times New Roman"/>
          <w:lang w:val="el-GR"/>
        </w:rPr>
        <w:t>το αρχικό χαρτοφυλάκιο μετοχών το οποίο θ</w:t>
      </w:r>
      <w:r w:rsidR="007B23CD">
        <w:rPr>
          <w:rFonts w:ascii="Times New Roman" w:hAnsi="Times New Roman" w:cs="Times New Roman"/>
          <w:lang w:val="el-GR"/>
        </w:rPr>
        <w:t>α αναλυθεί ενδελεχώς αποτελείται από τις εξής μετοχές</w:t>
      </w:r>
      <w:r w:rsidR="005606B3" w:rsidRPr="005606B3">
        <w:rPr>
          <w:rFonts w:ascii="Times New Roman" w:hAnsi="Times New Roman" w:cs="Times New Roman"/>
          <w:lang w:val="el-GR"/>
        </w:rPr>
        <w:t>:</w:t>
      </w:r>
    </w:p>
    <w:p w14:paraId="2C62AE23" w14:textId="4155D138" w:rsidR="007611A6" w:rsidRDefault="00012154" w:rsidP="00414D6E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 xml:space="preserve">Εν συνεχεία, για την επιλογή του τελικού χαρτοφυλακίου μετοχών αναλύθηκαν οι χρηματοοικονομικές καταστάσεις των παραπάνω οικονομικών οντοτήτων σε βάθος τριετίας για τις χρήσεις </w:t>
      </w:r>
      <w:r w:rsidR="00E00FAF">
        <w:rPr>
          <w:rFonts w:ascii="Times New Roman" w:hAnsi="Times New Roman" w:cs="Times New Roman"/>
          <w:lang w:val="el-GR"/>
        </w:rPr>
        <w:t>2017</w:t>
      </w:r>
      <w:r w:rsidR="009321AE">
        <w:rPr>
          <w:rFonts w:ascii="Times New Roman" w:hAnsi="Times New Roman" w:cs="Times New Roman"/>
          <w:lang w:val="el-GR"/>
        </w:rPr>
        <w:t xml:space="preserve">, 2018 και </w:t>
      </w:r>
      <w:r w:rsidR="00112A22">
        <w:rPr>
          <w:rFonts w:ascii="Times New Roman" w:hAnsi="Times New Roman" w:cs="Times New Roman"/>
          <w:lang w:val="el-GR"/>
        </w:rPr>
        <w:t>2019.</w:t>
      </w:r>
      <w:r w:rsidR="000E5092">
        <w:rPr>
          <w:rFonts w:ascii="Times New Roman" w:hAnsi="Times New Roman" w:cs="Times New Roman"/>
          <w:lang w:val="el-GR"/>
        </w:rPr>
        <w:t xml:space="preserve"> </w:t>
      </w:r>
      <w:r w:rsidR="00A77976">
        <w:rPr>
          <w:rFonts w:ascii="Times New Roman" w:hAnsi="Times New Roman" w:cs="Times New Roman"/>
          <w:lang w:val="el-GR"/>
        </w:rPr>
        <w:t xml:space="preserve">Τα αποτελέσματα των δεικτών ανάλυσης των εταιρειών συγκρίθηκαν με </w:t>
      </w:r>
      <w:r w:rsidR="008539A2">
        <w:rPr>
          <w:rFonts w:ascii="Times New Roman" w:hAnsi="Times New Roman" w:cs="Times New Roman"/>
          <w:lang w:val="el-GR"/>
        </w:rPr>
        <w:t>τους αντίστοιχους κλαδικού δείκτες</w:t>
      </w:r>
      <w:r w:rsidR="006B50CA" w:rsidRPr="006B50CA">
        <w:rPr>
          <w:rFonts w:ascii="Times New Roman" w:hAnsi="Times New Roman" w:cs="Times New Roman"/>
          <w:lang w:val="el-GR"/>
        </w:rPr>
        <w:t xml:space="preserve">. </w:t>
      </w:r>
      <w:r w:rsidR="00DE1A5F">
        <w:rPr>
          <w:rFonts w:ascii="Times New Roman" w:hAnsi="Times New Roman" w:cs="Times New Roman"/>
          <w:lang w:val="el-GR"/>
        </w:rPr>
        <w:t xml:space="preserve">Λαμβάνοντας μια γενικότερη πληροφόρηση από τους ισολογισμού και τις καταστάσεις αποτελεσμάτων των υπό εξέταση εταιρειών, </w:t>
      </w:r>
      <w:r w:rsidR="001A0358">
        <w:rPr>
          <w:rFonts w:ascii="Times New Roman" w:hAnsi="Times New Roman" w:cs="Times New Roman"/>
          <w:lang w:val="el-GR"/>
        </w:rPr>
        <w:t>τα κύρια κριτήρια αξιολόγησης των μετοχών ορίζονται ως εξής</w:t>
      </w:r>
      <w:r w:rsidR="001A0358" w:rsidRPr="001A0358">
        <w:rPr>
          <w:rFonts w:ascii="Times New Roman" w:hAnsi="Times New Roman" w:cs="Times New Roman"/>
          <w:lang w:val="el-GR"/>
        </w:rPr>
        <w:t>:</w:t>
      </w:r>
    </w:p>
    <w:p w14:paraId="5BFEC5E9" w14:textId="7E9A2BE4" w:rsidR="0093496B" w:rsidRPr="0093496B" w:rsidRDefault="002E2190" w:rsidP="009349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l-GR"/>
        </w:rPr>
      </w:pPr>
      <w:r w:rsidRPr="000F0C65">
        <w:rPr>
          <w:rFonts w:ascii="Times New Roman" w:hAnsi="Times New Roman" w:cs="Times New Roman"/>
          <w:b/>
          <w:bCs/>
          <w:lang w:val="en-US"/>
        </w:rPr>
        <w:t>Beta</w:t>
      </w:r>
      <w:r w:rsidR="0061063F" w:rsidRPr="000F0C65">
        <w:rPr>
          <w:rFonts w:ascii="Times New Roman" w:hAnsi="Times New Roman" w:cs="Times New Roman"/>
          <w:b/>
          <w:bCs/>
          <w:lang w:val="el-GR"/>
        </w:rPr>
        <w:t xml:space="preserve"> – 25%</w:t>
      </w:r>
      <w:r w:rsidR="00C86D29" w:rsidRPr="000F0C65">
        <w:rPr>
          <w:rFonts w:ascii="Times New Roman" w:hAnsi="Times New Roman" w:cs="Times New Roman"/>
          <w:b/>
          <w:bCs/>
          <w:lang w:val="el-GR"/>
        </w:rPr>
        <w:t>:</w:t>
      </w:r>
      <w:r w:rsidR="00C86D29" w:rsidRPr="00CF156A">
        <w:rPr>
          <w:rFonts w:ascii="Times New Roman" w:hAnsi="Times New Roman" w:cs="Times New Roman"/>
          <w:lang w:val="el-GR"/>
        </w:rPr>
        <w:t xml:space="preserve"> </w:t>
      </w:r>
      <w:r w:rsidR="00CF156A">
        <w:rPr>
          <w:rFonts w:ascii="Times New Roman" w:hAnsi="Times New Roman" w:cs="Times New Roman"/>
          <w:lang w:val="el-GR"/>
        </w:rPr>
        <w:t xml:space="preserve">ο συντελεστής βήτα προσδιορίζει τον συστηματικό κίνδυνο από τον οποίο διέπετε </w:t>
      </w:r>
      <w:r w:rsidR="00997F0A">
        <w:rPr>
          <w:rFonts w:ascii="Times New Roman" w:hAnsi="Times New Roman" w:cs="Times New Roman"/>
          <w:lang w:val="el-GR"/>
        </w:rPr>
        <w:t>ένας συμμετοχικός τίτλος,</w:t>
      </w:r>
      <w:r w:rsidR="00DD7FFB">
        <w:rPr>
          <w:rFonts w:ascii="Times New Roman" w:hAnsi="Times New Roman" w:cs="Times New Roman"/>
          <w:lang w:val="el-GR"/>
        </w:rPr>
        <w:t xml:space="preserve"> </w:t>
      </w:r>
      <w:r w:rsidR="00FF77FF">
        <w:rPr>
          <w:rFonts w:ascii="Times New Roman" w:hAnsi="Times New Roman" w:cs="Times New Roman"/>
          <w:lang w:val="el-GR"/>
        </w:rPr>
        <w:t xml:space="preserve">λαμβάνοντας υπόψη </w:t>
      </w:r>
      <w:r w:rsidR="0018780C">
        <w:rPr>
          <w:rFonts w:ascii="Times New Roman" w:hAnsi="Times New Roman" w:cs="Times New Roman"/>
          <w:lang w:val="el-GR"/>
        </w:rPr>
        <w:t xml:space="preserve">το αμυντικό </w:t>
      </w:r>
      <w:r w:rsidR="0018780C">
        <w:rPr>
          <w:rFonts w:ascii="Times New Roman" w:hAnsi="Times New Roman" w:cs="Times New Roman"/>
          <w:lang w:val="en-US"/>
        </w:rPr>
        <w:t>profile</w:t>
      </w:r>
      <w:r w:rsidR="0018780C" w:rsidRPr="0018780C">
        <w:rPr>
          <w:rFonts w:ascii="Times New Roman" w:hAnsi="Times New Roman" w:cs="Times New Roman"/>
          <w:lang w:val="el-GR"/>
        </w:rPr>
        <w:t xml:space="preserve"> </w:t>
      </w:r>
      <w:r w:rsidR="0018780C">
        <w:rPr>
          <w:rFonts w:ascii="Times New Roman" w:hAnsi="Times New Roman" w:cs="Times New Roman"/>
          <w:lang w:val="el-GR"/>
        </w:rPr>
        <w:t>και τις γενικότερες μακροοικονομικές συνθήκες</w:t>
      </w:r>
      <w:r w:rsidR="00132094">
        <w:rPr>
          <w:rFonts w:ascii="Times New Roman" w:hAnsi="Times New Roman" w:cs="Times New Roman"/>
          <w:lang w:val="el-GR"/>
        </w:rPr>
        <w:t xml:space="preserve"> </w:t>
      </w:r>
      <w:r w:rsidR="00C74536">
        <w:rPr>
          <w:rFonts w:ascii="Times New Roman" w:hAnsi="Times New Roman" w:cs="Times New Roman"/>
          <w:lang w:val="el-GR"/>
        </w:rPr>
        <w:t xml:space="preserve">επιλέχθηκαν μετοχές με συντελεστή βήτα μικρότερο του 0,95 </w:t>
      </w:r>
      <w:r w:rsidR="00FB4DB8">
        <w:rPr>
          <w:rFonts w:ascii="Times New Roman" w:hAnsi="Times New Roman" w:cs="Times New Roman"/>
          <w:lang w:val="el-GR"/>
        </w:rPr>
        <w:t xml:space="preserve">με απώτερο σκοπό </w:t>
      </w:r>
      <w:r w:rsidR="00C2524D">
        <w:rPr>
          <w:rFonts w:ascii="Times New Roman" w:hAnsi="Times New Roman" w:cs="Times New Roman"/>
          <w:lang w:val="el-GR"/>
        </w:rPr>
        <w:t xml:space="preserve">η μεταβλητότητα της μετοχής να είναι μικρότερη της μεταβλητότητας του </w:t>
      </w:r>
      <w:r w:rsidR="00883257">
        <w:rPr>
          <w:rFonts w:ascii="Times New Roman" w:hAnsi="Times New Roman" w:cs="Times New Roman"/>
          <w:lang w:val="el-GR"/>
        </w:rPr>
        <w:t>κατακερματισμένου γενικού δείκτη</w:t>
      </w:r>
      <w:r w:rsidR="00BE6AC5" w:rsidRPr="00BE6AC5">
        <w:rPr>
          <w:rFonts w:ascii="Times New Roman" w:hAnsi="Times New Roman" w:cs="Times New Roman"/>
          <w:lang w:val="el-GR"/>
        </w:rPr>
        <w:t>.</w:t>
      </w:r>
    </w:p>
    <w:p w14:paraId="5C282841" w14:textId="131EB613" w:rsidR="002E2190" w:rsidRPr="00256358" w:rsidRDefault="002E2190" w:rsidP="00887E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l-GR"/>
        </w:rPr>
      </w:pPr>
      <w:r w:rsidRPr="0093496B">
        <w:rPr>
          <w:rFonts w:ascii="Times New Roman" w:hAnsi="Times New Roman" w:cs="Times New Roman"/>
          <w:b/>
          <w:bCs/>
          <w:lang w:val="en-US"/>
        </w:rPr>
        <w:t>P</w:t>
      </w:r>
      <w:r w:rsidRPr="0093496B">
        <w:rPr>
          <w:rFonts w:ascii="Times New Roman" w:hAnsi="Times New Roman" w:cs="Times New Roman"/>
          <w:b/>
          <w:bCs/>
          <w:lang w:val="el-GR"/>
        </w:rPr>
        <w:t>/</w:t>
      </w:r>
      <w:r w:rsidRPr="0093496B">
        <w:rPr>
          <w:rFonts w:ascii="Times New Roman" w:hAnsi="Times New Roman" w:cs="Times New Roman"/>
          <w:b/>
          <w:bCs/>
          <w:lang w:val="en-US"/>
        </w:rPr>
        <w:t>E</w:t>
      </w:r>
      <w:r w:rsidR="0061063F" w:rsidRPr="0093496B">
        <w:rPr>
          <w:rFonts w:ascii="Times New Roman" w:hAnsi="Times New Roman" w:cs="Times New Roman"/>
          <w:b/>
          <w:bCs/>
          <w:lang w:val="el-GR"/>
        </w:rPr>
        <w:t xml:space="preserve"> – 20%</w:t>
      </w:r>
      <w:r w:rsidR="00C86D29" w:rsidRPr="0093496B">
        <w:rPr>
          <w:rFonts w:ascii="Times New Roman" w:hAnsi="Times New Roman" w:cs="Times New Roman"/>
          <w:b/>
          <w:bCs/>
          <w:lang w:val="el-GR"/>
        </w:rPr>
        <w:t>:</w:t>
      </w:r>
      <w:r w:rsidR="00312739" w:rsidRPr="008B1DF1">
        <w:rPr>
          <w:rFonts w:ascii="Times New Roman" w:hAnsi="Times New Roman" w:cs="Times New Roman"/>
          <w:lang w:val="el-GR"/>
        </w:rPr>
        <w:t xml:space="preserve"> </w:t>
      </w:r>
      <w:r w:rsidR="008211BE">
        <w:rPr>
          <w:rFonts w:ascii="Times New Roman" w:hAnsi="Times New Roman" w:cs="Times New Roman"/>
          <w:lang w:val="el-GR"/>
        </w:rPr>
        <w:t xml:space="preserve">ο πολλαπλασιαστής κερδών αποτυπώνει το ποσό που καταβάλει ο επενδυτής </w:t>
      </w:r>
      <w:r w:rsidR="008678A4">
        <w:rPr>
          <w:rFonts w:ascii="Times New Roman" w:hAnsi="Times New Roman" w:cs="Times New Roman"/>
          <w:lang w:val="el-GR"/>
        </w:rPr>
        <w:t xml:space="preserve">για </w:t>
      </w:r>
      <w:r w:rsidR="00D7229A">
        <w:rPr>
          <w:rFonts w:ascii="Times New Roman" w:hAnsi="Times New Roman" w:cs="Times New Roman"/>
          <w:lang w:val="el-GR"/>
        </w:rPr>
        <w:t>μία</w:t>
      </w:r>
      <w:r w:rsidR="008678A4">
        <w:rPr>
          <w:rFonts w:ascii="Times New Roman" w:hAnsi="Times New Roman" w:cs="Times New Roman"/>
          <w:lang w:val="el-GR"/>
        </w:rPr>
        <w:t xml:space="preserve"> μονάδα καθαρών εσόδων, στην προκειμένη περίπτωση επιλέχθηκαν </w:t>
      </w:r>
      <w:r w:rsidR="00E01649">
        <w:rPr>
          <w:rFonts w:ascii="Times New Roman" w:hAnsi="Times New Roman" w:cs="Times New Roman"/>
          <w:lang w:val="el-GR"/>
        </w:rPr>
        <w:t>συμμετοχικοί τίτλο</w:t>
      </w:r>
      <w:r w:rsidR="00FD030D">
        <w:rPr>
          <w:rFonts w:ascii="Times New Roman" w:hAnsi="Times New Roman" w:cs="Times New Roman"/>
          <w:lang w:val="el-GR"/>
        </w:rPr>
        <w:t>ι</w:t>
      </w:r>
      <w:r w:rsidR="003679F9">
        <w:rPr>
          <w:rFonts w:ascii="Times New Roman" w:hAnsi="Times New Roman" w:cs="Times New Roman"/>
          <w:lang w:val="el-GR"/>
        </w:rPr>
        <w:t xml:space="preserve"> με δείκτη </w:t>
      </w:r>
      <w:r w:rsidR="003679F9">
        <w:rPr>
          <w:rFonts w:ascii="Times New Roman" w:hAnsi="Times New Roman" w:cs="Times New Roman"/>
          <w:lang w:val="en-US"/>
        </w:rPr>
        <w:t>P</w:t>
      </w:r>
      <w:r w:rsidR="003679F9" w:rsidRPr="003679F9">
        <w:rPr>
          <w:rFonts w:ascii="Times New Roman" w:hAnsi="Times New Roman" w:cs="Times New Roman"/>
          <w:lang w:val="el-GR"/>
        </w:rPr>
        <w:t>/</w:t>
      </w:r>
      <w:r w:rsidR="003679F9">
        <w:rPr>
          <w:rFonts w:ascii="Times New Roman" w:hAnsi="Times New Roman" w:cs="Times New Roman"/>
          <w:lang w:val="en-US"/>
        </w:rPr>
        <w:t>E</w:t>
      </w:r>
      <w:r w:rsidR="00023B51" w:rsidRPr="00023B51">
        <w:rPr>
          <w:rFonts w:ascii="Times New Roman" w:hAnsi="Times New Roman" w:cs="Times New Roman"/>
          <w:lang w:val="el-GR"/>
        </w:rPr>
        <w:t xml:space="preserve"> </w:t>
      </w:r>
      <w:r w:rsidR="00023B51">
        <w:rPr>
          <w:rFonts w:ascii="Times New Roman" w:hAnsi="Times New Roman" w:cs="Times New Roman"/>
          <w:lang w:val="el-GR"/>
        </w:rPr>
        <w:t>μικρότερο από τον</w:t>
      </w:r>
      <w:r w:rsidR="00DF56CD">
        <w:rPr>
          <w:rFonts w:ascii="Times New Roman" w:hAnsi="Times New Roman" w:cs="Times New Roman"/>
          <w:lang w:val="el-GR"/>
        </w:rPr>
        <w:t xml:space="preserve"> αντίστοιχο του</w:t>
      </w:r>
      <w:r w:rsidR="00023B51">
        <w:rPr>
          <w:rFonts w:ascii="Times New Roman" w:hAnsi="Times New Roman" w:cs="Times New Roman"/>
          <w:lang w:val="el-GR"/>
        </w:rPr>
        <w:t xml:space="preserve"> κλάδο</w:t>
      </w:r>
      <w:r w:rsidR="00DF56CD">
        <w:rPr>
          <w:rFonts w:ascii="Times New Roman" w:hAnsi="Times New Roman" w:cs="Times New Roman"/>
          <w:lang w:val="el-GR"/>
        </w:rPr>
        <w:t>υ</w:t>
      </w:r>
      <w:r w:rsidR="00023B51">
        <w:rPr>
          <w:rFonts w:ascii="Times New Roman" w:hAnsi="Times New Roman" w:cs="Times New Roman"/>
          <w:lang w:val="el-GR"/>
        </w:rPr>
        <w:t xml:space="preserve"> στο</w:t>
      </w:r>
      <w:r w:rsidR="00DF56CD">
        <w:rPr>
          <w:rFonts w:ascii="Times New Roman" w:hAnsi="Times New Roman" w:cs="Times New Roman"/>
          <w:lang w:val="el-GR"/>
        </w:rPr>
        <w:t>ν</w:t>
      </w:r>
      <w:r w:rsidR="00023B51">
        <w:rPr>
          <w:rFonts w:ascii="Times New Roman" w:hAnsi="Times New Roman" w:cs="Times New Roman"/>
          <w:lang w:val="el-GR"/>
        </w:rPr>
        <w:t xml:space="preserve"> οποίο δραστηριοποι</w:t>
      </w:r>
      <w:r w:rsidR="00D7229A">
        <w:rPr>
          <w:rFonts w:ascii="Times New Roman" w:hAnsi="Times New Roman" w:cs="Times New Roman"/>
          <w:lang w:val="el-GR"/>
        </w:rPr>
        <w:t>είται η οντότητα</w:t>
      </w:r>
      <w:r w:rsidR="00023B51">
        <w:rPr>
          <w:rFonts w:ascii="Times New Roman" w:hAnsi="Times New Roman" w:cs="Times New Roman"/>
          <w:lang w:val="el-GR"/>
        </w:rPr>
        <w:t xml:space="preserve"> ή από το γενικότερο δείγμα μετοχών</w:t>
      </w:r>
      <w:r w:rsidR="001A32E1">
        <w:rPr>
          <w:rFonts w:ascii="Times New Roman" w:hAnsi="Times New Roman" w:cs="Times New Roman"/>
          <w:lang w:val="el-GR"/>
        </w:rPr>
        <w:t xml:space="preserve"> καθώς επιθ</w:t>
      </w:r>
      <w:r w:rsidR="0051710A">
        <w:rPr>
          <w:rFonts w:ascii="Times New Roman" w:hAnsi="Times New Roman" w:cs="Times New Roman"/>
          <w:lang w:val="el-GR"/>
        </w:rPr>
        <w:t>υμώ τα καθαρά κέρδη που θα διανεμηθούν μεταγενέστερα να κοστίζουν όσο το δυνατόν λιγότερο.</w:t>
      </w:r>
    </w:p>
    <w:p w14:paraId="6F54C3C4" w14:textId="493E7301" w:rsidR="002E2190" w:rsidRPr="000B0FA0" w:rsidRDefault="00A250D6" w:rsidP="00887E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0B0FA0">
        <w:rPr>
          <w:rFonts w:ascii="Times New Roman" w:hAnsi="Times New Roman" w:cs="Times New Roman"/>
          <w:b/>
          <w:bCs/>
          <w:lang w:val="en-US"/>
        </w:rPr>
        <w:t>P</w:t>
      </w:r>
      <w:r w:rsidRPr="00073432">
        <w:rPr>
          <w:rFonts w:ascii="Times New Roman" w:hAnsi="Times New Roman" w:cs="Times New Roman"/>
          <w:b/>
          <w:bCs/>
          <w:lang w:val="el-GR"/>
        </w:rPr>
        <w:t>/</w:t>
      </w:r>
      <w:r w:rsidRPr="000B0FA0">
        <w:rPr>
          <w:rFonts w:ascii="Times New Roman" w:hAnsi="Times New Roman" w:cs="Times New Roman"/>
          <w:b/>
          <w:bCs/>
          <w:lang w:val="en-US"/>
        </w:rPr>
        <w:t>BV</w:t>
      </w:r>
      <w:r w:rsidR="0061063F" w:rsidRPr="000B0FA0">
        <w:rPr>
          <w:rFonts w:ascii="Times New Roman" w:hAnsi="Times New Roman" w:cs="Times New Roman"/>
          <w:b/>
          <w:bCs/>
          <w:lang w:val="el-GR"/>
        </w:rPr>
        <w:t xml:space="preserve"> – 20%</w:t>
      </w:r>
      <w:r w:rsidR="00C86D29" w:rsidRPr="00073432">
        <w:rPr>
          <w:rFonts w:ascii="Times New Roman" w:hAnsi="Times New Roman" w:cs="Times New Roman"/>
          <w:b/>
          <w:bCs/>
          <w:lang w:val="el-GR"/>
        </w:rPr>
        <w:t>:</w:t>
      </w:r>
      <w:r w:rsidR="00312739" w:rsidRPr="00073432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073432">
        <w:rPr>
          <w:rFonts w:ascii="Times New Roman" w:hAnsi="Times New Roman" w:cs="Times New Roman"/>
          <w:lang w:val="el-GR"/>
        </w:rPr>
        <w:t xml:space="preserve">ο συγκεκριμένος δείκτης συσχετίζει την </w:t>
      </w:r>
      <w:r w:rsidR="005F6606">
        <w:rPr>
          <w:rFonts w:ascii="Times New Roman" w:hAnsi="Times New Roman" w:cs="Times New Roman"/>
          <w:lang w:val="el-GR"/>
        </w:rPr>
        <w:t xml:space="preserve">λογιστική αξία με την χρηματιστηριακή αξία της μετοχής, </w:t>
      </w:r>
      <w:r w:rsidR="00131033">
        <w:rPr>
          <w:rFonts w:ascii="Times New Roman" w:hAnsi="Times New Roman" w:cs="Times New Roman"/>
          <w:lang w:val="el-GR"/>
        </w:rPr>
        <w:t xml:space="preserve">όσο μικρότερη είναι η παραπάνω σχέση τόσο πιθανότερο είναι η </w:t>
      </w:r>
      <w:r w:rsidR="00EE3431">
        <w:rPr>
          <w:rFonts w:ascii="Times New Roman" w:hAnsi="Times New Roman" w:cs="Times New Roman"/>
          <w:lang w:val="el-GR"/>
        </w:rPr>
        <w:t>μετοχή να είναι υποτιμημένη</w:t>
      </w:r>
      <w:r w:rsidR="00091C0A">
        <w:rPr>
          <w:rFonts w:ascii="Times New Roman" w:hAnsi="Times New Roman" w:cs="Times New Roman"/>
          <w:lang w:val="el-GR"/>
        </w:rPr>
        <w:t xml:space="preserve"> και για τον παραπάνω λόγο επιλέχθηκαν μετοχές με δείκτη </w:t>
      </w:r>
      <w:r w:rsidR="00091C0A">
        <w:rPr>
          <w:rFonts w:ascii="Times New Roman" w:hAnsi="Times New Roman" w:cs="Times New Roman"/>
          <w:lang w:val="en-US"/>
        </w:rPr>
        <w:t>P</w:t>
      </w:r>
      <w:r w:rsidR="00091C0A" w:rsidRPr="00091C0A">
        <w:rPr>
          <w:rFonts w:ascii="Times New Roman" w:hAnsi="Times New Roman" w:cs="Times New Roman"/>
          <w:lang w:val="el-GR"/>
        </w:rPr>
        <w:t>/</w:t>
      </w:r>
      <w:r w:rsidR="00091C0A">
        <w:rPr>
          <w:rFonts w:ascii="Times New Roman" w:hAnsi="Times New Roman" w:cs="Times New Roman"/>
          <w:lang w:val="en-US"/>
        </w:rPr>
        <w:t>BV</w:t>
      </w:r>
      <w:r w:rsidR="00091C0A">
        <w:rPr>
          <w:rFonts w:ascii="Times New Roman" w:hAnsi="Times New Roman" w:cs="Times New Roman"/>
          <w:lang w:val="el-GR"/>
        </w:rPr>
        <w:t xml:space="preserve"> </w:t>
      </w:r>
      <w:r w:rsidR="00874B26">
        <w:rPr>
          <w:rFonts w:ascii="Times New Roman" w:hAnsi="Times New Roman" w:cs="Times New Roman"/>
          <w:lang w:val="el-GR"/>
        </w:rPr>
        <w:t xml:space="preserve">μικρότερο </w:t>
      </w:r>
      <w:r w:rsidR="007D488C">
        <w:rPr>
          <w:rFonts w:ascii="Times New Roman" w:hAnsi="Times New Roman" w:cs="Times New Roman"/>
          <w:lang w:val="el-GR"/>
        </w:rPr>
        <w:t xml:space="preserve">των υπολοίπων. </w:t>
      </w:r>
    </w:p>
    <w:p w14:paraId="07B62EB7" w14:textId="30D71F09" w:rsidR="00CD5FC8" w:rsidRPr="000B0FA0" w:rsidRDefault="00A250D6" w:rsidP="00887E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0B0FA0">
        <w:rPr>
          <w:rFonts w:ascii="Times New Roman" w:hAnsi="Times New Roman" w:cs="Times New Roman"/>
          <w:b/>
          <w:bCs/>
          <w:lang w:val="en-US"/>
        </w:rPr>
        <w:t>D</w:t>
      </w:r>
      <w:r w:rsidRPr="004F0CA7">
        <w:rPr>
          <w:rFonts w:ascii="Times New Roman" w:hAnsi="Times New Roman" w:cs="Times New Roman"/>
          <w:b/>
          <w:bCs/>
          <w:lang w:val="el-GR"/>
        </w:rPr>
        <w:t>/</w:t>
      </w:r>
      <w:r w:rsidRPr="000B0FA0">
        <w:rPr>
          <w:rFonts w:ascii="Times New Roman" w:hAnsi="Times New Roman" w:cs="Times New Roman"/>
          <w:b/>
          <w:bCs/>
          <w:lang w:val="en-US"/>
        </w:rPr>
        <w:t>P</w:t>
      </w:r>
      <w:r w:rsidR="0061063F" w:rsidRPr="000B0FA0">
        <w:rPr>
          <w:rFonts w:ascii="Times New Roman" w:hAnsi="Times New Roman" w:cs="Times New Roman"/>
          <w:b/>
          <w:bCs/>
          <w:lang w:val="el-GR"/>
        </w:rPr>
        <w:t xml:space="preserve"> – 15%</w:t>
      </w:r>
      <w:r w:rsidR="00C86D29" w:rsidRPr="004F0CA7">
        <w:rPr>
          <w:rFonts w:ascii="Times New Roman" w:hAnsi="Times New Roman" w:cs="Times New Roman"/>
          <w:b/>
          <w:bCs/>
          <w:lang w:val="el-GR"/>
        </w:rPr>
        <w:t>:</w:t>
      </w:r>
      <w:r w:rsidR="00312739" w:rsidRPr="000B0FA0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8F39EB">
        <w:rPr>
          <w:rFonts w:ascii="Times New Roman" w:hAnsi="Times New Roman" w:cs="Times New Roman"/>
          <w:lang w:val="el-GR"/>
        </w:rPr>
        <w:t xml:space="preserve">ο δείκτης αποτυπώνει το χρονικό διάστημα που απαιτείται έως ότου ο επενδυτής </w:t>
      </w:r>
      <w:r w:rsidR="00F65029">
        <w:rPr>
          <w:rFonts w:ascii="Times New Roman" w:hAnsi="Times New Roman" w:cs="Times New Roman"/>
          <w:lang w:val="el-GR"/>
        </w:rPr>
        <w:t xml:space="preserve">καλύψει </w:t>
      </w:r>
      <w:r w:rsidR="00971DB3">
        <w:rPr>
          <w:rFonts w:ascii="Times New Roman" w:hAnsi="Times New Roman" w:cs="Times New Roman"/>
          <w:lang w:val="el-GR"/>
        </w:rPr>
        <w:t>το κόστος κτήσης των μετοχών</w:t>
      </w:r>
    </w:p>
    <w:p w14:paraId="6450A027" w14:textId="7A7D0246" w:rsidR="00CD5FC8" w:rsidRPr="00160DF5" w:rsidRDefault="00A250D6" w:rsidP="00887E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0B0FA0">
        <w:rPr>
          <w:rFonts w:ascii="Times New Roman" w:hAnsi="Times New Roman" w:cs="Times New Roman"/>
          <w:b/>
          <w:bCs/>
          <w:lang w:val="en-US"/>
        </w:rPr>
        <w:t>Current</w:t>
      </w:r>
      <w:r w:rsidRPr="00160DF5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0B0FA0">
        <w:rPr>
          <w:rFonts w:ascii="Times New Roman" w:hAnsi="Times New Roman" w:cs="Times New Roman"/>
          <w:b/>
          <w:bCs/>
          <w:lang w:val="en-US"/>
        </w:rPr>
        <w:t>Ratio</w:t>
      </w:r>
      <w:r w:rsidR="0061063F" w:rsidRPr="00160DF5">
        <w:rPr>
          <w:rFonts w:ascii="Times New Roman" w:hAnsi="Times New Roman" w:cs="Times New Roman"/>
          <w:b/>
          <w:bCs/>
          <w:lang w:val="el-GR"/>
        </w:rPr>
        <w:t xml:space="preserve"> – 10%</w:t>
      </w:r>
      <w:r w:rsidR="00C86D29" w:rsidRPr="00160DF5">
        <w:rPr>
          <w:rFonts w:ascii="Times New Roman" w:hAnsi="Times New Roman" w:cs="Times New Roman"/>
          <w:b/>
          <w:bCs/>
          <w:lang w:val="el-GR"/>
        </w:rPr>
        <w:t>:</w:t>
      </w:r>
      <w:r w:rsidR="00312739" w:rsidRPr="00160DF5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AE6F29">
        <w:rPr>
          <w:rFonts w:ascii="Times New Roman" w:hAnsi="Times New Roman" w:cs="Times New Roman"/>
          <w:lang w:val="el-GR"/>
        </w:rPr>
        <w:t>εν</w:t>
      </w:r>
      <w:r w:rsidR="00AE6F29" w:rsidRPr="00160DF5">
        <w:rPr>
          <w:rFonts w:ascii="Times New Roman" w:hAnsi="Times New Roman" w:cs="Times New Roman"/>
          <w:lang w:val="el-GR"/>
        </w:rPr>
        <w:t xml:space="preserve"> </w:t>
      </w:r>
      <w:r w:rsidR="00AE6F29">
        <w:rPr>
          <w:rFonts w:ascii="Times New Roman" w:hAnsi="Times New Roman" w:cs="Times New Roman"/>
          <w:lang w:val="el-GR"/>
        </w:rPr>
        <w:t>καιρώ</w:t>
      </w:r>
      <w:r w:rsidR="00AE6F29" w:rsidRPr="00160DF5">
        <w:rPr>
          <w:rFonts w:ascii="Times New Roman" w:hAnsi="Times New Roman" w:cs="Times New Roman"/>
          <w:lang w:val="el-GR"/>
        </w:rPr>
        <w:t xml:space="preserve"> </w:t>
      </w:r>
      <w:r w:rsidR="00160DF5">
        <w:rPr>
          <w:rFonts w:ascii="Times New Roman" w:hAnsi="Times New Roman" w:cs="Times New Roman"/>
          <w:lang w:val="el-GR"/>
        </w:rPr>
        <w:t>υψηλής αβεβαιότητας</w:t>
      </w:r>
      <w:r w:rsidR="00250110">
        <w:rPr>
          <w:rFonts w:ascii="Times New Roman" w:hAnsi="Times New Roman" w:cs="Times New Roman"/>
          <w:lang w:val="el-GR"/>
        </w:rPr>
        <w:t>,</w:t>
      </w:r>
      <w:r w:rsidR="00A17A5F">
        <w:rPr>
          <w:rFonts w:ascii="Times New Roman" w:hAnsi="Times New Roman" w:cs="Times New Roman"/>
          <w:lang w:val="el-GR"/>
        </w:rPr>
        <w:t xml:space="preserve"> η ικανότητα των εταιρειών ν</w:t>
      </w:r>
      <w:r w:rsidR="00AE6716">
        <w:rPr>
          <w:rFonts w:ascii="Times New Roman" w:hAnsi="Times New Roman" w:cs="Times New Roman"/>
          <w:lang w:val="el-GR"/>
        </w:rPr>
        <w:t xml:space="preserve">α εξυπηρετούν της βραχυπρόθεσμες οφειλές τους </w:t>
      </w:r>
      <w:r w:rsidR="003242D8">
        <w:rPr>
          <w:rFonts w:ascii="Times New Roman" w:hAnsi="Times New Roman" w:cs="Times New Roman"/>
          <w:lang w:val="el-GR"/>
        </w:rPr>
        <w:t>θεωρήθηκε ζωτικής σημασίας</w:t>
      </w:r>
      <w:r w:rsidR="00736B1D">
        <w:rPr>
          <w:rFonts w:ascii="Times New Roman" w:hAnsi="Times New Roman" w:cs="Times New Roman"/>
          <w:lang w:val="el-GR"/>
        </w:rPr>
        <w:t xml:space="preserve"> λόγω της μειωμένης ρευστότητας στην αγορά και της περιορισμένης χρηματοδότησης από τα χρηματοπιστωτικά ιδρύματα. </w:t>
      </w:r>
    </w:p>
    <w:p w14:paraId="1088F59A" w14:textId="45795B20" w:rsidR="007611A6" w:rsidRPr="000B0FA0" w:rsidRDefault="00A250D6" w:rsidP="007611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0B0FA0">
        <w:rPr>
          <w:rFonts w:ascii="Times New Roman" w:hAnsi="Times New Roman" w:cs="Times New Roman"/>
          <w:b/>
          <w:bCs/>
          <w:lang w:val="en-US"/>
        </w:rPr>
        <w:t>ROE</w:t>
      </w:r>
      <w:r w:rsidR="005B1A6B" w:rsidRPr="000B0FA0">
        <w:rPr>
          <w:rFonts w:ascii="Times New Roman" w:hAnsi="Times New Roman" w:cs="Times New Roman"/>
          <w:b/>
          <w:bCs/>
          <w:lang w:val="el-GR"/>
        </w:rPr>
        <w:t xml:space="preserve"> – 10%</w:t>
      </w:r>
      <w:r w:rsidR="00C86D29" w:rsidRPr="00012356">
        <w:rPr>
          <w:rFonts w:ascii="Times New Roman" w:hAnsi="Times New Roman" w:cs="Times New Roman"/>
          <w:b/>
          <w:bCs/>
          <w:lang w:val="el-GR"/>
        </w:rPr>
        <w:t>:</w:t>
      </w:r>
      <w:r w:rsidR="00312739" w:rsidRPr="00012356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012356">
        <w:rPr>
          <w:rFonts w:ascii="Times New Roman" w:hAnsi="Times New Roman" w:cs="Times New Roman"/>
          <w:lang w:val="el-GR"/>
        </w:rPr>
        <w:t>παρά την μειωμένη αποδοτικότητα λόγω της πανδημίας, ο δείκτης επιλέχθηκε καθώς απεικονίζει την διαχρονική</w:t>
      </w:r>
      <w:r w:rsidR="002F5EE6">
        <w:rPr>
          <w:rFonts w:ascii="Times New Roman" w:hAnsi="Times New Roman" w:cs="Times New Roman"/>
          <w:lang w:val="el-GR"/>
        </w:rPr>
        <w:t xml:space="preserve"> αποτελεσματικότητα της εταιρείας μέσω </w:t>
      </w:r>
      <w:r w:rsidR="00DD5220">
        <w:rPr>
          <w:rFonts w:ascii="Times New Roman" w:hAnsi="Times New Roman" w:cs="Times New Roman"/>
          <w:lang w:val="el-GR"/>
        </w:rPr>
        <w:t>των κεφαλαίων που επενδύθηκαν από τους φορείς.</w:t>
      </w:r>
    </w:p>
    <w:p w14:paraId="68F3B509" w14:textId="5A746A19" w:rsidR="008F1601" w:rsidRPr="00BA3E3D" w:rsidRDefault="008F1601" w:rsidP="007611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0B0FA0">
        <w:rPr>
          <w:rFonts w:ascii="Times New Roman" w:hAnsi="Times New Roman" w:cs="Times New Roman"/>
          <w:b/>
          <w:bCs/>
          <w:lang w:val="el-GR"/>
        </w:rPr>
        <w:t>Προοπτικές</w:t>
      </w:r>
      <w:r w:rsidRPr="006E2F83">
        <w:rPr>
          <w:rFonts w:ascii="Times New Roman" w:hAnsi="Times New Roman" w:cs="Times New Roman"/>
          <w:b/>
          <w:bCs/>
          <w:lang w:val="el-GR"/>
        </w:rPr>
        <w:t>:</w:t>
      </w:r>
      <w:r w:rsidR="00845011">
        <w:rPr>
          <w:rFonts w:ascii="Times New Roman" w:hAnsi="Times New Roman" w:cs="Times New Roman"/>
          <w:lang w:val="el-GR"/>
        </w:rPr>
        <w:t xml:space="preserve"> </w:t>
      </w:r>
      <w:r w:rsidR="00360F1D">
        <w:rPr>
          <w:rFonts w:ascii="Times New Roman" w:hAnsi="Times New Roman" w:cs="Times New Roman"/>
          <w:lang w:val="el-GR"/>
        </w:rPr>
        <w:t>οι παραπάνω δείκτες</w:t>
      </w:r>
      <w:r w:rsidR="005A157B">
        <w:rPr>
          <w:rFonts w:ascii="Times New Roman" w:hAnsi="Times New Roman" w:cs="Times New Roman"/>
          <w:lang w:val="el-GR"/>
        </w:rPr>
        <w:t xml:space="preserve"> αξιολογούν τις </w:t>
      </w:r>
      <w:r w:rsidR="004B5E51">
        <w:rPr>
          <w:rFonts w:ascii="Times New Roman" w:hAnsi="Times New Roman" w:cs="Times New Roman"/>
          <w:lang w:val="el-GR"/>
        </w:rPr>
        <w:t xml:space="preserve">μετοχές για το χρονικό διάστημα 2017 </w:t>
      </w:r>
      <w:r w:rsidR="00956E97">
        <w:rPr>
          <w:rFonts w:ascii="Times New Roman" w:hAnsi="Times New Roman" w:cs="Times New Roman"/>
          <w:lang w:val="el-GR"/>
        </w:rPr>
        <w:t>–</w:t>
      </w:r>
      <w:r w:rsidR="004B5E51">
        <w:rPr>
          <w:rFonts w:ascii="Times New Roman" w:hAnsi="Times New Roman" w:cs="Times New Roman"/>
          <w:lang w:val="el-GR"/>
        </w:rPr>
        <w:t xml:space="preserve"> 2019</w:t>
      </w:r>
      <w:r w:rsidR="00956E97">
        <w:rPr>
          <w:rFonts w:ascii="Times New Roman" w:hAnsi="Times New Roman" w:cs="Times New Roman"/>
          <w:lang w:val="el-GR"/>
        </w:rPr>
        <w:t xml:space="preserve"> όπου </w:t>
      </w:r>
      <w:r w:rsidR="000208CC">
        <w:rPr>
          <w:rFonts w:ascii="Times New Roman" w:hAnsi="Times New Roman" w:cs="Times New Roman"/>
          <w:lang w:val="el-GR"/>
        </w:rPr>
        <w:t xml:space="preserve">δεν επικράτησαν </w:t>
      </w:r>
      <w:r w:rsidR="0012408E">
        <w:rPr>
          <w:rFonts w:ascii="Times New Roman" w:hAnsi="Times New Roman" w:cs="Times New Roman"/>
          <w:lang w:val="el-GR"/>
        </w:rPr>
        <w:t xml:space="preserve">συνταρακτικές μακροοικονομικές αλλαγές, </w:t>
      </w:r>
      <w:r w:rsidR="00C95C2F">
        <w:rPr>
          <w:rFonts w:ascii="Times New Roman" w:hAnsi="Times New Roman" w:cs="Times New Roman"/>
          <w:lang w:val="el-GR"/>
        </w:rPr>
        <w:t xml:space="preserve">επομένως για την εξαγωγή του τελικού χαρτοφυλακίου μετοχών </w:t>
      </w:r>
      <w:r w:rsidR="004E0398">
        <w:rPr>
          <w:rFonts w:ascii="Times New Roman" w:hAnsi="Times New Roman" w:cs="Times New Roman"/>
          <w:lang w:val="el-GR"/>
        </w:rPr>
        <w:t xml:space="preserve">λήφθηκαν υπόψη </w:t>
      </w:r>
      <w:r w:rsidR="00F12803">
        <w:rPr>
          <w:rFonts w:ascii="Times New Roman" w:hAnsi="Times New Roman" w:cs="Times New Roman"/>
          <w:lang w:val="el-GR"/>
        </w:rPr>
        <w:t>ο κλάδος δραστηριοποίησης</w:t>
      </w:r>
      <w:r w:rsidR="007F35BF">
        <w:rPr>
          <w:rFonts w:ascii="Times New Roman" w:hAnsi="Times New Roman" w:cs="Times New Roman"/>
          <w:lang w:val="el-GR"/>
        </w:rPr>
        <w:t xml:space="preserve"> της εκάστοτε μετοχής</w:t>
      </w:r>
      <w:r w:rsidR="00F12803">
        <w:rPr>
          <w:rFonts w:ascii="Times New Roman" w:hAnsi="Times New Roman" w:cs="Times New Roman"/>
          <w:lang w:val="el-GR"/>
        </w:rPr>
        <w:t xml:space="preserve">, οι </w:t>
      </w:r>
      <w:r w:rsidR="00832B4C">
        <w:rPr>
          <w:rFonts w:ascii="Times New Roman" w:hAnsi="Times New Roman" w:cs="Times New Roman"/>
          <w:lang w:val="el-GR"/>
        </w:rPr>
        <w:t>προβλέψεις των μεταβολών της τιμής των μετοχών</w:t>
      </w:r>
      <w:r w:rsidR="00E10F0B">
        <w:rPr>
          <w:rFonts w:ascii="Times New Roman" w:hAnsi="Times New Roman" w:cs="Times New Roman"/>
          <w:lang w:val="el-GR"/>
        </w:rPr>
        <w:t xml:space="preserve"> </w:t>
      </w:r>
      <w:r w:rsidR="007F35BF">
        <w:rPr>
          <w:rFonts w:ascii="Times New Roman" w:hAnsi="Times New Roman" w:cs="Times New Roman"/>
          <w:lang w:val="el-GR"/>
        </w:rPr>
        <w:t xml:space="preserve">καθώς και </w:t>
      </w:r>
      <w:r w:rsidR="00446058">
        <w:rPr>
          <w:rFonts w:ascii="Times New Roman" w:hAnsi="Times New Roman" w:cs="Times New Roman"/>
          <w:lang w:val="el-GR"/>
        </w:rPr>
        <w:t xml:space="preserve">οι </w:t>
      </w:r>
      <w:r w:rsidR="00D33ED5">
        <w:rPr>
          <w:rFonts w:ascii="Times New Roman" w:hAnsi="Times New Roman" w:cs="Times New Roman"/>
          <w:lang w:val="el-GR"/>
        </w:rPr>
        <w:t xml:space="preserve">καθημερινές εξελίξεις με κύρια παραδείγματα τα διαγγέλματα του </w:t>
      </w:r>
      <w:r w:rsidR="00774ABF">
        <w:rPr>
          <w:rFonts w:ascii="Times New Roman" w:hAnsi="Times New Roman" w:cs="Times New Roman"/>
          <w:lang w:val="el-GR"/>
        </w:rPr>
        <w:t>Πρωθυπουργού</w:t>
      </w:r>
      <w:r w:rsidR="00D33ED5">
        <w:rPr>
          <w:rFonts w:ascii="Times New Roman" w:hAnsi="Times New Roman" w:cs="Times New Roman"/>
          <w:lang w:val="el-GR"/>
        </w:rPr>
        <w:t>,</w:t>
      </w:r>
      <w:r w:rsidR="00774ABF">
        <w:rPr>
          <w:rFonts w:ascii="Times New Roman" w:hAnsi="Times New Roman" w:cs="Times New Roman"/>
          <w:lang w:val="el-GR"/>
        </w:rPr>
        <w:t xml:space="preserve"> </w:t>
      </w:r>
      <w:r w:rsidR="009C432A">
        <w:rPr>
          <w:rFonts w:ascii="Times New Roman" w:hAnsi="Times New Roman" w:cs="Times New Roman"/>
          <w:lang w:val="el-GR"/>
        </w:rPr>
        <w:t>τις ανακοινώσεις της ΕΕ κ.α.</w:t>
      </w:r>
    </w:p>
    <w:p w14:paraId="3F172F60" w14:textId="46A81E8B" w:rsidR="00BA3E3D" w:rsidRPr="00762D94" w:rsidRDefault="00D32384" w:rsidP="00BA3E3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Με βάση τα παραπάνω κριτήρια </w:t>
      </w:r>
      <w:r w:rsidR="008F57CD">
        <w:rPr>
          <w:rFonts w:ascii="Times New Roman" w:hAnsi="Times New Roman" w:cs="Times New Roman"/>
          <w:lang w:val="el-GR"/>
        </w:rPr>
        <w:t>επι</w:t>
      </w:r>
      <w:r w:rsidR="00762D94">
        <w:rPr>
          <w:rFonts w:ascii="Times New Roman" w:hAnsi="Times New Roman" w:cs="Times New Roman"/>
          <w:lang w:val="el-GR"/>
        </w:rPr>
        <w:t>λέχθηκαν οι παρακάτω μετοχές</w:t>
      </w:r>
      <w:r w:rsidR="00762D94" w:rsidRPr="00762D94">
        <w:rPr>
          <w:rFonts w:ascii="Times New Roman" w:hAnsi="Times New Roman" w:cs="Times New Roman"/>
          <w:lang w:val="el-GR"/>
        </w:rPr>
        <w:t xml:space="preserve">: </w:t>
      </w:r>
    </w:p>
    <w:tbl>
      <w:tblPr>
        <w:tblStyle w:val="ListTable6ColourfulAccent6"/>
        <w:tblpPr w:leftFromText="180" w:rightFromText="180" w:vertAnchor="text" w:horzAnchor="margin" w:tblpXSpec="center" w:tblpY="96"/>
        <w:tblW w:w="9284" w:type="dxa"/>
        <w:tblLook w:val="04A0" w:firstRow="1" w:lastRow="0" w:firstColumn="1" w:lastColumn="0" w:noHBand="0" w:noVBand="1"/>
      </w:tblPr>
      <w:tblGrid>
        <w:gridCol w:w="2271"/>
        <w:gridCol w:w="4236"/>
        <w:gridCol w:w="2777"/>
      </w:tblGrid>
      <w:tr w:rsidR="001C683F" w:rsidRPr="0079428B" w14:paraId="031FE876" w14:textId="77777777" w:rsidTr="003B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2D8C31FA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4236" w:type="dxa"/>
            <w:noWrap/>
            <w:hideMark/>
          </w:tcPr>
          <w:p w14:paraId="766601A2" w14:textId="77777777" w:rsidR="0079428B" w:rsidRPr="0079428B" w:rsidRDefault="0079428B" w:rsidP="007942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Μετοχή</w:t>
            </w:r>
          </w:p>
        </w:tc>
        <w:tc>
          <w:tcPr>
            <w:tcW w:w="2777" w:type="dxa"/>
            <w:noWrap/>
            <w:hideMark/>
          </w:tcPr>
          <w:p w14:paraId="42599E6F" w14:textId="77777777" w:rsidR="0079428B" w:rsidRPr="0079428B" w:rsidRDefault="0079428B" w:rsidP="007942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Score</w:t>
            </w:r>
          </w:p>
        </w:tc>
      </w:tr>
      <w:tr w:rsidR="001C683F" w:rsidRPr="0079428B" w14:paraId="7BD3FC47" w14:textId="77777777" w:rsidTr="003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7A25AC10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36" w:type="dxa"/>
            <w:noWrap/>
            <w:hideMark/>
          </w:tcPr>
          <w:p w14:paraId="1246E0AC" w14:textId="77777777" w:rsidR="0079428B" w:rsidRPr="0079428B" w:rsidRDefault="0079428B" w:rsidP="0079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ΕΕΕ</w:t>
            </w:r>
          </w:p>
        </w:tc>
        <w:tc>
          <w:tcPr>
            <w:tcW w:w="2777" w:type="dxa"/>
            <w:noWrap/>
            <w:hideMark/>
          </w:tcPr>
          <w:p w14:paraId="4425DE75" w14:textId="77777777" w:rsidR="0079428B" w:rsidRPr="0079428B" w:rsidRDefault="0079428B" w:rsidP="0037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</w:tr>
      <w:tr w:rsidR="001C683F" w:rsidRPr="0079428B" w14:paraId="41E97E06" w14:textId="77777777" w:rsidTr="003B7F8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0E821E77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236" w:type="dxa"/>
            <w:noWrap/>
            <w:hideMark/>
          </w:tcPr>
          <w:p w14:paraId="30D779A6" w14:textId="77777777" w:rsidR="0079428B" w:rsidRPr="0079428B" w:rsidRDefault="0079428B" w:rsidP="0079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ΟΤΕ</w:t>
            </w:r>
          </w:p>
        </w:tc>
        <w:tc>
          <w:tcPr>
            <w:tcW w:w="2777" w:type="dxa"/>
            <w:noWrap/>
            <w:hideMark/>
          </w:tcPr>
          <w:p w14:paraId="5562948B" w14:textId="77777777" w:rsidR="0079428B" w:rsidRPr="0079428B" w:rsidRDefault="0079428B" w:rsidP="0037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</w:tr>
      <w:tr w:rsidR="001C683F" w:rsidRPr="0079428B" w14:paraId="6CAE7E78" w14:textId="77777777" w:rsidTr="003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35948ABD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236" w:type="dxa"/>
            <w:noWrap/>
            <w:hideMark/>
          </w:tcPr>
          <w:p w14:paraId="1E9B5758" w14:textId="77777777" w:rsidR="0079428B" w:rsidRPr="0079428B" w:rsidRDefault="0079428B" w:rsidP="0079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ΤΕΝΕΡΓ</w:t>
            </w:r>
          </w:p>
        </w:tc>
        <w:tc>
          <w:tcPr>
            <w:tcW w:w="2777" w:type="dxa"/>
            <w:noWrap/>
            <w:hideMark/>
          </w:tcPr>
          <w:p w14:paraId="487286E9" w14:textId="77777777" w:rsidR="0079428B" w:rsidRPr="0079428B" w:rsidRDefault="0079428B" w:rsidP="0037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1C683F" w:rsidRPr="0079428B" w14:paraId="3965F8A0" w14:textId="77777777" w:rsidTr="003B7F8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7D36BC06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236" w:type="dxa"/>
            <w:noWrap/>
            <w:hideMark/>
          </w:tcPr>
          <w:p w14:paraId="37D82AE4" w14:textId="77777777" w:rsidR="0079428B" w:rsidRPr="0079428B" w:rsidRDefault="0079428B" w:rsidP="0079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ΣΑΡ</w:t>
            </w:r>
          </w:p>
        </w:tc>
        <w:tc>
          <w:tcPr>
            <w:tcW w:w="2777" w:type="dxa"/>
            <w:noWrap/>
            <w:hideMark/>
          </w:tcPr>
          <w:p w14:paraId="7AF23847" w14:textId="77777777" w:rsidR="0079428B" w:rsidRPr="0079428B" w:rsidRDefault="0079428B" w:rsidP="0037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1C683F" w:rsidRPr="0079428B" w14:paraId="48AD67AF" w14:textId="77777777" w:rsidTr="003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17FFDD48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236" w:type="dxa"/>
            <w:noWrap/>
            <w:hideMark/>
          </w:tcPr>
          <w:p w14:paraId="4DD8CDC0" w14:textId="77777777" w:rsidR="0079428B" w:rsidRPr="0079428B" w:rsidRDefault="0079428B" w:rsidP="0079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ΙΑΣΩ</w:t>
            </w:r>
          </w:p>
        </w:tc>
        <w:tc>
          <w:tcPr>
            <w:tcW w:w="2777" w:type="dxa"/>
            <w:noWrap/>
            <w:hideMark/>
          </w:tcPr>
          <w:p w14:paraId="115A1A3E" w14:textId="77777777" w:rsidR="0079428B" w:rsidRPr="0079428B" w:rsidRDefault="0079428B" w:rsidP="0037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1C683F" w:rsidRPr="0079428B" w14:paraId="5E3F5CBD" w14:textId="77777777" w:rsidTr="003B7F8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3F6F7007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236" w:type="dxa"/>
            <w:noWrap/>
            <w:hideMark/>
          </w:tcPr>
          <w:p w14:paraId="31299303" w14:textId="77777777" w:rsidR="0079428B" w:rsidRPr="0079428B" w:rsidRDefault="0079428B" w:rsidP="0079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ΠΛΑΘ</w:t>
            </w:r>
          </w:p>
        </w:tc>
        <w:tc>
          <w:tcPr>
            <w:tcW w:w="2777" w:type="dxa"/>
            <w:noWrap/>
            <w:hideMark/>
          </w:tcPr>
          <w:p w14:paraId="22F9A518" w14:textId="77777777" w:rsidR="0079428B" w:rsidRPr="0079428B" w:rsidRDefault="0079428B" w:rsidP="0037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1C683F" w:rsidRPr="0079428B" w14:paraId="595690DE" w14:textId="77777777" w:rsidTr="003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14:paraId="3FD5A264" w14:textId="77777777" w:rsidR="0079428B" w:rsidRPr="0079428B" w:rsidRDefault="0079428B" w:rsidP="007942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236" w:type="dxa"/>
            <w:noWrap/>
            <w:hideMark/>
          </w:tcPr>
          <w:p w14:paraId="01C3A71B" w14:textId="77777777" w:rsidR="0079428B" w:rsidRPr="0079428B" w:rsidRDefault="0079428B" w:rsidP="0079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ΕΛΤΟΝ</w:t>
            </w:r>
          </w:p>
        </w:tc>
        <w:tc>
          <w:tcPr>
            <w:tcW w:w="2777" w:type="dxa"/>
            <w:noWrap/>
            <w:hideMark/>
          </w:tcPr>
          <w:p w14:paraId="49EE62F1" w14:textId="77777777" w:rsidR="0079428B" w:rsidRPr="0079428B" w:rsidRDefault="0079428B" w:rsidP="0037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942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</w:tbl>
    <w:p w14:paraId="11A4EAD8" w14:textId="08B081FB" w:rsidR="009E4568" w:rsidRDefault="009D1F5F" w:rsidP="009E4568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Παρατηρείται πως οι επιλεχθ</w:t>
      </w:r>
      <w:r w:rsidR="00A90734">
        <w:rPr>
          <w:rFonts w:ascii="Times New Roman" w:hAnsi="Times New Roman" w:cs="Times New Roman"/>
          <w:lang w:val="el-GR"/>
        </w:rPr>
        <w:t>εί</w:t>
      </w:r>
      <w:r>
        <w:rPr>
          <w:rFonts w:ascii="Times New Roman" w:hAnsi="Times New Roman" w:cs="Times New Roman"/>
          <w:lang w:val="el-GR"/>
        </w:rPr>
        <w:t>σες</w:t>
      </w:r>
      <w:r w:rsidR="00A90734">
        <w:rPr>
          <w:rFonts w:ascii="Times New Roman" w:hAnsi="Times New Roman" w:cs="Times New Roman"/>
          <w:lang w:val="el-GR"/>
        </w:rPr>
        <w:t xml:space="preserve"> μετοχές παρουσιάζουν μέτρια </w:t>
      </w:r>
      <w:r w:rsidR="00372F40">
        <w:rPr>
          <w:rFonts w:ascii="Times New Roman" w:hAnsi="Times New Roman" w:cs="Times New Roman"/>
          <w:lang w:val="el-GR"/>
        </w:rPr>
        <w:t>προς καλή βαθμολόγηση</w:t>
      </w:r>
      <w:r w:rsidR="00A70A23">
        <w:rPr>
          <w:rFonts w:ascii="Times New Roman" w:hAnsi="Times New Roman" w:cs="Times New Roman"/>
          <w:lang w:val="el-GR"/>
        </w:rPr>
        <w:t xml:space="preserve"> καθώς στην πλ</w:t>
      </w:r>
      <w:r w:rsidR="00A071E9">
        <w:rPr>
          <w:rFonts w:ascii="Times New Roman" w:hAnsi="Times New Roman" w:cs="Times New Roman"/>
          <w:lang w:val="el-GR"/>
        </w:rPr>
        <w:t xml:space="preserve">ειοψηφία τους </w:t>
      </w:r>
      <w:r w:rsidR="000C47F1">
        <w:rPr>
          <w:rFonts w:ascii="Times New Roman" w:hAnsi="Times New Roman" w:cs="Times New Roman"/>
          <w:lang w:val="el-GR"/>
        </w:rPr>
        <w:t>αξιολογήθηκαν</w:t>
      </w:r>
      <w:r w:rsidR="00A071E9">
        <w:rPr>
          <w:rFonts w:ascii="Times New Roman" w:hAnsi="Times New Roman" w:cs="Times New Roman"/>
          <w:lang w:val="el-GR"/>
        </w:rPr>
        <w:t xml:space="preserve"> με βάση τις προοπτικές και </w:t>
      </w:r>
      <w:r w:rsidR="006B7EC2">
        <w:rPr>
          <w:rFonts w:ascii="Times New Roman" w:hAnsi="Times New Roman" w:cs="Times New Roman"/>
          <w:lang w:val="el-GR"/>
        </w:rPr>
        <w:t xml:space="preserve">εν συνεχεία με βάση την απόδοση τους στους δείκτες ανάλυσης. </w:t>
      </w:r>
      <w:r w:rsidR="00FB14B1">
        <w:rPr>
          <w:rFonts w:ascii="Times New Roman" w:hAnsi="Times New Roman" w:cs="Times New Roman"/>
          <w:lang w:val="el-GR"/>
        </w:rPr>
        <w:t xml:space="preserve">Οι μετοχές ΕΕΕ και ΟΤΕ επιλέχθηκαν λόγω </w:t>
      </w:r>
      <w:r w:rsidR="0008693B">
        <w:rPr>
          <w:rFonts w:ascii="Times New Roman" w:hAnsi="Times New Roman" w:cs="Times New Roman"/>
          <w:lang w:val="el-GR"/>
        </w:rPr>
        <w:t>του κλάδου στο</w:t>
      </w:r>
      <w:r w:rsidR="00447CCD">
        <w:rPr>
          <w:rFonts w:ascii="Times New Roman" w:hAnsi="Times New Roman" w:cs="Times New Roman"/>
          <w:lang w:val="el-GR"/>
        </w:rPr>
        <w:t>ν</w:t>
      </w:r>
      <w:r w:rsidR="0008693B">
        <w:rPr>
          <w:rFonts w:ascii="Times New Roman" w:hAnsi="Times New Roman" w:cs="Times New Roman"/>
          <w:lang w:val="el-GR"/>
        </w:rPr>
        <w:t xml:space="preserve"> οποίο δραστηριοποιούνται </w:t>
      </w:r>
      <w:r w:rsidR="00A05D8B">
        <w:rPr>
          <w:rFonts w:ascii="Times New Roman" w:hAnsi="Times New Roman" w:cs="Times New Roman"/>
          <w:lang w:val="el-GR"/>
        </w:rPr>
        <w:t xml:space="preserve">και επειδή αποτελούν εδραιωμένες (λιγότερο επικίνδυνες) μετοχές. </w:t>
      </w:r>
      <w:r w:rsidR="008073DE">
        <w:rPr>
          <w:rFonts w:ascii="Times New Roman" w:hAnsi="Times New Roman" w:cs="Times New Roman"/>
          <w:lang w:val="el-GR"/>
        </w:rPr>
        <w:t xml:space="preserve">Εν συνεχεία, </w:t>
      </w:r>
      <w:r w:rsidR="006C2438">
        <w:rPr>
          <w:rFonts w:ascii="Times New Roman" w:hAnsi="Times New Roman" w:cs="Times New Roman"/>
          <w:lang w:val="el-GR"/>
        </w:rPr>
        <w:t xml:space="preserve">οι μετοχές ΠΛΑΘ και ΕΛΤΟΝ επιλέχθηκαν λόγω </w:t>
      </w:r>
      <w:r w:rsidR="00FA0BB1">
        <w:rPr>
          <w:rFonts w:ascii="Times New Roman" w:hAnsi="Times New Roman" w:cs="Times New Roman"/>
          <w:lang w:val="el-GR"/>
        </w:rPr>
        <w:t xml:space="preserve">της </w:t>
      </w:r>
      <w:r w:rsidR="00DA4FE6">
        <w:rPr>
          <w:rFonts w:ascii="Times New Roman" w:hAnsi="Times New Roman" w:cs="Times New Roman"/>
          <w:lang w:val="el-GR"/>
        </w:rPr>
        <w:t>βαθμολόγησης τους και επειδή αποτελούν τις πιο ανταγωνιστικές εταιρείες στον κλάδο δραστηριοποίησης τους</w:t>
      </w:r>
      <w:r w:rsidR="006B09AE">
        <w:rPr>
          <w:rFonts w:ascii="Times New Roman" w:hAnsi="Times New Roman" w:cs="Times New Roman"/>
          <w:lang w:val="el-GR"/>
        </w:rPr>
        <w:t>.</w:t>
      </w:r>
      <w:r w:rsidR="00A31533">
        <w:rPr>
          <w:rFonts w:ascii="Times New Roman" w:hAnsi="Times New Roman" w:cs="Times New Roman"/>
          <w:lang w:val="el-GR"/>
        </w:rPr>
        <w:t xml:space="preserve"> </w:t>
      </w:r>
      <w:r w:rsidR="006B09AE">
        <w:rPr>
          <w:rFonts w:ascii="Times New Roman" w:hAnsi="Times New Roman" w:cs="Times New Roman"/>
          <w:lang w:val="el-GR"/>
        </w:rPr>
        <w:t xml:space="preserve">Τέλος, οι μετοχές </w:t>
      </w:r>
      <w:r w:rsidR="00C57B16">
        <w:rPr>
          <w:rFonts w:ascii="Times New Roman" w:hAnsi="Times New Roman" w:cs="Times New Roman"/>
          <w:lang w:val="el-GR"/>
        </w:rPr>
        <w:t xml:space="preserve">ΤΕΝΕΡΓ, ΣΑΡ και ΙΑΣΩ θεωρήθηκαν κατάλληλες μετοχές </w:t>
      </w:r>
      <w:r w:rsidR="00960BE7">
        <w:rPr>
          <w:rFonts w:ascii="Times New Roman" w:hAnsi="Times New Roman" w:cs="Times New Roman"/>
          <w:lang w:val="el-GR"/>
        </w:rPr>
        <w:t>υπό τις συνθήκες που επικρατούσαν.</w:t>
      </w:r>
    </w:p>
    <w:p w14:paraId="76772FFB" w14:textId="4B081B6B" w:rsidR="00A31533" w:rsidRDefault="00A31533" w:rsidP="00A315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3153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Επιμερισμός Κεφαλαίου </w:t>
      </w:r>
    </w:p>
    <w:p w14:paraId="1110A56D" w14:textId="1A4F19CA" w:rsidR="00A31533" w:rsidRDefault="00460FF9" w:rsidP="006318A9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Μετά την επιλογή των κατάλληλων μετοχών, </w:t>
      </w:r>
      <w:r w:rsidR="00F70A2D">
        <w:rPr>
          <w:rFonts w:ascii="Times New Roman" w:hAnsi="Times New Roman" w:cs="Times New Roman"/>
          <w:lang w:val="el-GR"/>
        </w:rPr>
        <w:t>βαρύτητα δίνεται στ</w:t>
      </w:r>
      <w:r w:rsidR="007429D8">
        <w:rPr>
          <w:rFonts w:ascii="Times New Roman" w:hAnsi="Times New Roman" w:cs="Times New Roman"/>
          <w:lang w:val="el-GR"/>
        </w:rPr>
        <w:t>ον επιμερισμό του διαθ</w:t>
      </w:r>
      <w:r w:rsidR="006F6F06">
        <w:rPr>
          <w:rFonts w:ascii="Times New Roman" w:hAnsi="Times New Roman" w:cs="Times New Roman"/>
          <w:lang w:val="el-GR"/>
        </w:rPr>
        <w:t>ε</w:t>
      </w:r>
      <w:r w:rsidR="007429D8">
        <w:rPr>
          <w:rFonts w:ascii="Times New Roman" w:hAnsi="Times New Roman" w:cs="Times New Roman"/>
          <w:lang w:val="el-GR"/>
        </w:rPr>
        <w:t>σ</w:t>
      </w:r>
      <w:r w:rsidR="006F6F06">
        <w:rPr>
          <w:rFonts w:ascii="Times New Roman" w:hAnsi="Times New Roman" w:cs="Times New Roman"/>
          <w:lang w:val="el-GR"/>
        </w:rPr>
        <w:t>ί</w:t>
      </w:r>
      <w:r w:rsidR="007429D8">
        <w:rPr>
          <w:rFonts w:ascii="Times New Roman" w:hAnsi="Times New Roman" w:cs="Times New Roman"/>
          <w:lang w:val="el-GR"/>
        </w:rPr>
        <w:t xml:space="preserve">μου κεφαλαίου. </w:t>
      </w:r>
      <w:r w:rsidR="00C95C4D">
        <w:rPr>
          <w:rFonts w:ascii="Times New Roman" w:hAnsi="Times New Roman" w:cs="Times New Roman"/>
          <w:lang w:val="el-GR"/>
        </w:rPr>
        <w:t>Ελέγχθηκαν αρκετά πιθανά χαρτοφυλάκια</w:t>
      </w:r>
      <w:r w:rsidR="00502EDB">
        <w:rPr>
          <w:rFonts w:ascii="Times New Roman" w:hAnsi="Times New Roman" w:cs="Times New Roman"/>
          <w:lang w:val="el-GR"/>
        </w:rPr>
        <w:t xml:space="preserve"> μεταξύ των οποίων </w:t>
      </w:r>
      <w:r w:rsidR="00D85271">
        <w:rPr>
          <w:rFonts w:ascii="Times New Roman" w:hAnsi="Times New Roman" w:cs="Times New Roman"/>
          <w:lang w:val="el-GR"/>
        </w:rPr>
        <w:t>κυμαίνονταν οι σταθμίσεις των μετοχών</w:t>
      </w:r>
      <w:r w:rsidR="00971AB6">
        <w:rPr>
          <w:rFonts w:ascii="Times New Roman" w:hAnsi="Times New Roman" w:cs="Times New Roman"/>
          <w:lang w:val="el-GR"/>
        </w:rPr>
        <w:t xml:space="preserve"> χωρίς την χρήση του</w:t>
      </w:r>
      <w:r w:rsidR="001F67F6">
        <w:rPr>
          <w:rFonts w:ascii="Times New Roman" w:hAnsi="Times New Roman" w:cs="Times New Roman"/>
          <w:lang w:val="el-GR"/>
        </w:rPr>
        <w:t xml:space="preserve"> </w:t>
      </w:r>
      <w:r w:rsidR="001F67F6">
        <w:rPr>
          <w:rFonts w:ascii="Times New Roman" w:hAnsi="Times New Roman" w:cs="Times New Roman"/>
          <w:lang w:val="en-US"/>
        </w:rPr>
        <w:t>solver</w:t>
      </w:r>
      <w:r w:rsidR="001F67F6">
        <w:rPr>
          <w:rFonts w:ascii="Times New Roman" w:hAnsi="Times New Roman" w:cs="Times New Roman"/>
          <w:lang w:val="el-GR"/>
        </w:rPr>
        <w:t xml:space="preserve"> λόγω του ότι </w:t>
      </w:r>
      <w:r w:rsidR="006561B4">
        <w:rPr>
          <w:rFonts w:ascii="Times New Roman" w:hAnsi="Times New Roman" w:cs="Times New Roman"/>
          <w:lang w:val="el-GR"/>
        </w:rPr>
        <w:t xml:space="preserve">δεν λαμβάνει υπόψη </w:t>
      </w:r>
      <w:r w:rsidR="001E6CF5">
        <w:rPr>
          <w:rFonts w:ascii="Times New Roman" w:hAnsi="Times New Roman" w:cs="Times New Roman"/>
          <w:lang w:val="el-GR"/>
        </w:rPr>
        <w:t>ποιοτικά χαρακτηριστικά</w:t>
      </w:r>
      <w:r w:rsidR="00D85271">
        <w:rPr>
          <w:rFonts w:ascii="Times New Roman" w:hAnsi="Times New Roman" w:cs="Times New Roman"/>
          <w:lang w:val="el-GR"/>
        </w:rPr>
        <w:t>. Το τελικό χαρτοφυλάκιο</w:t>
      </w:r>
      <w:r w:rsidR="00272E8A">
        <w:rPr>
          <w:rFonts w:ascii="Times New Roman" w:hAnsi="Times New Roman" w:cs="Times New Roman"/>
          <w:lang w:val="el-GR"/>
        </w:rPr>
        <w:t xml:space="preserve"> </w:t>
      </w:r>
      <w:r w:rsidR="00F1769D">
        <w:rPr>
          <w:rFonts w:ascii="Times New Roman" w:hAnsi="Times New Roman" w:cs="Times New Roman"/>
          <w:lang w:val="el-GR"/>
        </w:rPr>
        <w:t>έχει ως εξής</w:t>
      </w:r>
      <w:r w:rsidR="00F1769D" w:rsidRPr="00F1769D">
        <w:rPr>
          <w:rFonts w:ascii="Times New Roman" w:hAnsi="Times New Roman" w:cs="Times New Roman"/>
          <w:lang w:val="el-GR"/>
        </w:rPr>
        <w:t xml:space="preserve">: </w:t>
      </w:r>
    </w:p>
    <w:tbl>
      <w:tblPr>
        <w:tblStyle w:val="ListTable6ColourfulAccent6"/>
        <w:tblW w:w="9230" w:type="dxa"/>
        <w:jc w:val="center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6"/>
      </w:tblGrid>
      <w:tr w:rsidR="00CA7C8E" w:rsidRPr="00CA7C8E" w14:paraId="21463E72" w14:textId="77777777" w:rsidTr="00CA7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7950BD48" w14:textId="77777777" w:rsidR="00CA7C8E" w:rsidRPr="00CA7C8E" w:rsidRDefault="00CA7C8E" w:rsidP="00CA7C8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Μετοχή</w:t>
            </w:r>
          </w:p>
        </w:tc>
        <w:tc>
          <w:tcPr>
            <w:tcW w:w="1846" w:type="dxa"/>
            <w:noWrap/>
            <w:hideMark/>
          </w:tcPr>
          <w:p w14:paraId="297A6DF7" w14:textId="77777777" w:rsidR="00CA7C8E" w:rsidRPr="00CA7C8E" w:rsidRDefault="00CA7C8E" w:rsidP="00CA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Τιμή</w:t>
            </w:r>
          </w:p>
        </w:tc>
        <w:tc>
          <w:tcPr>
            <w:tcW w:w="1846" w:type="dxa"/>
            <w:noWrap/>
            <w:hideMark/>
          </w:tcPr>
          <w:p w14:paraId="58D96B7B" w14:textId="77777777" w:rsidR="00CA7C8E" w:rsidRPr="00CA7C8E" w:rsidRDefault="00CA7C8E" w:rsidP="00CA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Τεμάχια</w:t>
            </w:r>
          </w:p>
        </w:tc>
        <w:tc>
          <w:tcPr>
            <w:tcW w:w="1846" w:type="dxa"/>
            <w:noWrap/>
            <w:hideMark/>
          </w:tcPr>
          <w:p w14:paraId="27FD23DA" w14:textId="77777777" w:rsidR="00CA7C8E" w:rsidRPr="00CA7C8E" w:rsidRDefault="00CA7C8E" w:rsidP="00CA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Στάθμιση</w:t>
            </w:r>
          </w:p>
        </w:tc>
        <w:tc>
          <w:tcPr>
            <w:tcW w:w="1846" w:type="dxa"/>
            <w:noWrap/>
            <w:hideMark/>
          </w:tcPr>
          <w:p w14:paraId="355537B1" w14:textId="5C29DD3F" w:rsidR="00CA7C8E" w:rsidRPr="00CA7C8E" w:rsidRDefault="00CA7C8E" w:rsidP="00CA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n-GB"/>
              </w:rPr>
              <w:t>Αξία</w:t>
            </w: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(€)</w:t>
            </w:r>
          </w:p>
        </w:tc>
      </w:tr>
      <w:tr w:rsidR="00CA7C8E" w:rsidRPr="00CA7C8E" w14:paraId="7B67B39A" w14:textId="77777777" w:rsidTr="00CA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1ED65749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ΕΕΕ</w:t>
            </w:r>
          </w:p>
        </w:tc>
        <w:tc>
          <w:tcPr>
            <w:tcW w:w="1846" w:type="dxa"/>
            <w:noWrap/>
            <w:hideMark/>
          </w:tcPr>
          <w:p w14:paraId="1FDF4405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22.15</w:t>
            </w:r>
          </w:p>
        </w:tc>
        <w:tc>
          <w:tcPr>
            <w:tcW w:w="1846" w:type="dxa"/>
            <w:noWrap/>
            <w:hideMark/>
          </w:tcPr>
          <w:p w14:paraId="534125A5" w14:textId="4D19979F" w:rsidR="00CA7C8E" w:rsidRPr="00CA7C8E" w:rsidRDefault="00CA7C8E" w:rsidP="00CA7C8E">
            <w:pPr>
              <w:tabs>
                <w:tab w:val="center" w:pos="822"/>
                <w:tab w:val="right" w:pos="16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846" w:type="dxa"/>
            <w:noWrap/>
            <w:hideMark/>
          </w:tcPr>
          <w:p w14:paraId="054DFCC4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846" w:type="dxa"/>
            <w:noWrap/>
            <w:hideMark/>
          </w:tcPr>
          <w:p w14:paraId="1BE6AC2B" w14:textId="010D5E3B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14,000€</w:t>
            </w:r>
          </w:p>
        </w:tc>
      </w:tr>
      <w:tr w:rsidR="00CA7C8E" w:rsidRPr="00CA7C8E" w14:paraId="5179515B" w14:textId="77777777" w:rsidTr="00CA7C8E">
        <w:trPr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54620DCF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ΟΤΕ</w:t>
            </w:r>
          </w:p>
        </w:tc>
        <w:tc>
          <w:tcPr>
            <w:tcW w:w="1846" w:type="dxa"/>
            <w:noWrap/>
            <w:hideMark/>
          </w:tcPr>
          <w:p w14:paraId="50B8A992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11.88</w:t>
            </w:r>
          </w:p>
        </w:tc>
        <w:tc>
          <w:tcPr>
            <w:tcW w:w="1846" w:type="dxa"/>
            <w:noWrap/>
            <w:hideMark/>
          </w:tcPr>
          <w:p w14:paraId="574E2B0B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1,178</w:t>
            </w:r>
          </w:p>
        </w:tc>
        <w:tc>
          <w:tcPr>
            <w:tcW w:w="1846" w:type="dxa"/>
            <w:noWrap/>
            <w:hideMark/>
          </w:tcPr>
          <w:p w14:paraId="6CD61923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846" w:type="dxa"/>
            <w:noWrap/>
            <w:hideMark/>
          </w:tcPr>
          <w:p w14:paraId="6C8F533E" w14:textId="79917EBC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14,000€</w:t>
            </w:r>
          </w:p>
        </w:tc>
      </w:tr>
      <w:tr w:rsidR="00CA7C8E" w:rsidRPr="00CA7C8E" w14:paraId="301A4398" w14:textId="77777777" w:rsidTr="00CA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3632F630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ΤΕΝΕΡΓ</w:t>
            </w:r>
          </w:p>
        </w:tc>
        <w:tc>
          <w:tcPr>
            <w:tcW w:w="1846" w:type="dxa"/>
            <w:noWrap/>
            <w:hideMark/>
          </w:tcPr>
          <w:p w14:paraId="5C1B5904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7.89</w:t>
            </w:r>
          </w:p>
        </w:tc>
        <w:tc>
          <w:tcPr>
            <w:tcW w:w="1846" w:type="dxa"/>
            <w:noWrap/>
            <w:hideMark/>
          </w:tcPr>
          <w:p w14:paraId="2032D688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2,662</w:t>
            </w:r>
          </w:p>
        </w:tc>
        <w:tc>
          <w:tcPr>
            <w:tcW w:w="1846" w:type="dxa"/>
            <w:noWrap/>
            <w:hideMark/>
          </w:tcPr>
          <w:p w14:paraId="595CDE58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30%</w:t>
            </w:r>
          </w:p>
        </w:tc>
        <w:tc>
          <w:tcPr>
            <w:tcW w:w="1846" w:type="dxa"/>
            <w:noWrap/>
            <w:hideMark/>
          </w:tcPr>
          <w:p w14:paraId="5ACAC5FC" w14:textId="78E4B8C6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21,000€</w:t>
            </w:r>
          </w:p>
        </w:tc>
      </w:tr>
      <w:tr w:rsidR="00CA7C8E" w:rsidRPr="00CA7C8E" w14:paraId="31716BA0" w14:textId="77777777" w:rsidTr="00CA7C8E">
        <w:trPr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7A9FD909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ΣΑΡ</w:t>
            </w:r>
          </w:p>
        </w:tc>
        <w:tc>
          <w:tcPr>
            <w:tcW w:w="1846" w:type="dxa"/>
            <w:noWrap/>
            <w:hideMark/>
          </w:tcPr>
          <w:p w14:paraId="61561EA9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7.49</w:t>
            </w:r>
          </w:p>
        </w:tc>
        <w:tc>
          <w:tcPr>
            <w:tcW w:w="1846" w:type="dxa"/>
            <w:noWrap/>
            <w:hideMark/>
          </w:tcPr>
          <w:p w14:paraId="3FE324EB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1,215</w:t>
            </w:r>
          </w:p>
        </w:tc>
        <w:tc>
          <w:tcPr>
            <w:tcW w:w="1846" w:type="dxa"/>
            <w:noWrap/>
            <w:hideMark/>
          </w:tcPr>
          <w:p w14:paraId="080C17F4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13%</w:t>
            </w:r>
          </w:p>
        </w:tc>
        <w:tc>
          <w:tcPr>
            <w:tcW w:w="1846" w:type="dxa"/>
            <w:noWrap/>
            <w:hideMark/>
          </w:tcPr>
          <w:p w14:paraId="52FF912E" w14:textId="5DB7F2F3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9,100€</w:t>
            </w:r>
          </w:p>
        </w:tc>
      </w:tr>
      <w:tr w:rsidR="00CA7C8E" w:rsidRPr="00CA7C8E" w14:paraId="5E9ED92B" w14:textId="77777777" w:rsidTr="00CA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673AB1C3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ΙΑΣΩ</w:t>
            </w:r>
          </w:p>
        </w:tc>
        <w:tc>
          <w:tcPr>
            <w:tcW w:w="1846" w:type="dxa"/>
            <w:noWrap/>
            <w:hideMark/>
          </w:tcPr>
          <w:p w14:paraId="51C28179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846" w:type="dxa"/>
            <w:noWrap/>
            <w:hideMark/>
          </w:tcPr>
          <w:p w14:paraId="2DEDCD8F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7,000</w:t>
            </w:r>
          </w:p>
        </w:tc>
        <w:tc>
          <w:tcPr>
            <w:tcW w:w="1846" w:type="dxa"/>
            <w:noWrap/>
            <w:hideMark/>
          </w:tcPr>
          <w:p w14:paraId="16F3AF2F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13%</w:t>
            </w:r>
          </w:p>
        </w:tc>
        <w:tc>
          <w:tcPr>
            <w:tcW w:w="1846" w:type="dxa"/>
            <w:noWrap/>
            <w:hideMark/>
          </w:tcPr>
          <w:p w14:paraId="1D945573" w14:textId="74F02978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9,100€</w:t>
            </w:r>
          </w:p>
        </w:tc>
      </w:tr>
      <w:tr w:rsidR="00CA7C8E" w:rsidRPr="00CA7C8E" w14:paraId="26FA40B8" w14:textId="77777777" w:rsidTr="00CA7C8E">
        <w:trPr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0EFE2FE6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ΠΛΑΘ</w:t>
            </w:r>
          </w:p>
        </w:tc>
        <w:tc>
          <w:tcPr>
            <w:tcW w:w="1846" w:type="dxa"/>
            <w:noWrap/>
            <w:hideMark/>
          </w:tcPr>
          <w:p w14:paraId="488045E6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1.38</w:t>
            </w:r>
          </w:p>
        </w:tc>
        <w:tc>
          <w:tcPr>
            <w:tcW w:w="1846" w:type="dxa"/>
            <w:noWrap/>
            <w:hideMark/>
          </w:tcPr>
          <w:p w14:paraId="7C065CFF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846" w:type="dxa"/>
            <w:noWrap/>
            <w:hideMark/>
          </w:tcPr>
          <w:p w14:paraId="1B2A97AD" w14:textId="7777777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1846" w:type="dxa"/>
            <w:noWrap/>
            <w:hideMark/>
          </w:tcPr>
          <w:p w14:paraId="4C099732" w14:textId="3C73CE97" w:rsidR="00CA7C8E" w:rsidRPr="00CA7C8E" w:rsidRDefault="00CA7C8E" w:rsidP="00CA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700€</w:t>
            </w:r>
          </w:p>
        </w:tc>
      </w:tr>
      <w:tr w:rsidR="00CA7C8E" w:rsidRPr="00CA7C8E" w14:paraId="0B0D469E" w14:textId="77777777" w:rsidTr="00CA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noWrap/>
            <w:hideMark/>
          </w:tcPr>
          <w:p w14:paraId="6991875E" w14:textId="77777777" w:rsidR="00CA7C8E" w:rsidRPr="00CA7C8E" w:rsidRDefault="00CA7C8E" w:rsidP="00CA7C8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ΕΛΤΟΝ</w:t>
            </w:r>
          </w:p>
        </w:tc>
        <w:tc>
          <w:tcPr>
            <w:tcW w:w="1846" w:type="dxa"/>
            <w:noWrap/>
            <w:hideMark/>
          </w:tcPr>
          <w:p w14:paraId="0F0307A7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1846" w:type="dxa"/>
            <w:noWrap/>
            <w:hideMark/>
          </w:tcPr>
          <w:p w14:paraId="024957BB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1,667</w:t>
            </w:r>
          </w:p>
        </w:tc>
        <w:tc>
          <w:tcPr>
            <w:tcW w:w="1846" w:type="dxa"/>
            <w:noWrap/>
            <w:hideMark/>
          </w:tcPr>
          <w:p w14:paraId="52B74E0A" w14:textId="77777777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3%</w:t>
            </w:r>
          </w:p>
        </w:tc>
        <w:tc>
          <w:tcPr>
            <w:tcW w:w="1846" w:type="dxa"/>
            <w:noWrap/>
            <w:hideMark/>
          </w:tcPr>
          <w:p w14:paraId="5D39BCCF" w14:textId="41C94335" w:rsidR="00CA7C8E" w:rsidRPr="00CA7C8E" w:rsidRDefault="00CA7C8E" w:rsidP="00CA7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A7C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2,100€</w:t>
            </w:r>
          </w:p>
        </w:tc>
      </w:tr>
    </w:tbl>
    <w:p w14:paraId="07C1B888" w14:textId="23663DB4" w:rsidR="00776664" w:rsidRDefault="00776664" w:rsidP="00776664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095673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Συναλλαγές</w:t>
      </w:r>
    </w:p>
    <w:p w14:paraId="7EA4FEDC" w14:textId="39444469" w:rsidR="00515EC6" w:rsidRPr="003F0A4F" w:rsidRDefault="00B36574" w:rsidP="0093687F">
      <w:pPr>
        <w:spacing w:before="240"/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Κατά την διάρκεια διαχείρισης του χαρτοφυλακίου πραγματοποιήθηκαν </w:t>
      </w:r>
      <w:r w:rsidR="00AE33A0">
        <w:rPr>
          <w:rFonts w:ascii="Times New Roman" w:hAnsi="Times New Roman" w:cs="Times New Roman"/>
          <w:lang w:val="el-GR"/>
        </w:rPr>
        <w:t xml:space="preserve">συναλλαγές </w:t>
      </w:r>
      <w:r w:rsidR="00744B64">
        <w:rPr>
          <w:rFonts w:ascii="Times New Roman" w:hAnsi="Times New Roman" w:cs="Times New Roman"/>
          <w:lang w:val="el-GR"/>
        </w:rPr>
        <w:t xml:space="preserve">με σκοπό την αναδιάρθρωση του χαρτοφυλακίου. </w:t>
      </w:r>
      <w:r w:rsidR="00515EC6">
        <w:rPr>
          <w:rFonts w:ascii="Times New Roman" w:hAnsi="Times New Roman" w:cs="Times New Roman"/>
          <w:lang w:val="el-GR"/>
        </w:rPr>
        <w:t>Οι παρακάτω συναλλαγές πραγματοποιήθηκαν με τα εξής κριτήρια</w:t>
      </w:r>
      <w:r w:rsidR="00515EC6" w:rsidRPr="003F0A4F">
        <w:rPr>
          <w:rFonts w:ascii="Times New Roman" w:hAnsi="Times New Roman" w:cs="Times New Roman"/>
          <w:lang w:val="el-GR"/>
        </w:rPr>
        <w:t>:</w:t>
      </w:r>
    </w:p>
    <w:p w14:paraId="111FFC70" w14:textId="48690F62" w:rsidR="000E4B3F" w:rsidRDefault="000E4B3F" w:rsidP="00BF760B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Ελκυστικές τιμές </w:t>
      </w:r>
      <w:r w:rsidR="00BF760B">
        <w:rPr>
          <w:rFonts w:ascii="Times New Roman" w:hAnsi="Times New Roman" w:cs="Times New Roman"/>
          <w:lang w:val="el-GR"/>
        </w:rPr>
        <w:t>αγοράς – πώλησης για την αναδ</w:t>
      </w:r>
      <w:r w:rsidR="00296EE5">
        <w:rPr>
          <w:rFonts w:ascii="Times New Roman" w:hAnsi="Times New Roman" w:cs="Times New Roman"/>
          <w:lang w:val="el-GR"/>
        </w:rPr>
        <w:t>ιάρθρωση του χαρτοφυλακίου</w:t>
      </w:r>
    </w:p>
    <w:p w14:paraId="017FFCF8" w14:textId="3094E698" w:rsidR="00296EE5" w:rsidRDefault="00296EE5" w:rsidP="00BF760B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Αγορά </w:t>
      </w:r>
      <w:r w:rsidR="00B06483">
        <w:rPr>
          <w:rFonts w:ascii="Times New Roman" w:hAnsi="Times New Roman" w:cs="Times New Roman"/>
          <w:lang w:val="el-GR"/>
        </w:rPr>
        <w:t>και διακράτηση μετοχών θεωρώντας αύξηση της τιμής εντός την εβδομάδας</w:t>
      </w:r>
    </w:p>
    <w:p w14:paraId="6F7B9E8D" w14:textId="270A9A81" w:rsidR="00B06483" w:rsidRDefault="00F275F0" w:rsidP="00BF760B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Κλείσιμο ζημιών προερχ</w:t>
      </w:r>
      <w:r w:rsidR="003F0A4F">
        <w:rPr>
          <w:rFonts w:ascii="Times New Roman" w:hAnsi="Times New Roman" w:cs="Times New Roman"/>
          <w:lang w:val="el-GR"/>
        </w:rPr>
        <w:t xml:space="preserve">όμενων από </w:t>
      </w:r>
      <w:r w:rsidR="00183C2B">
        <w:rPr>
          <w:rFonts w:ascii="Times New Roman" w:hAnsi="Times New Roman" w:cs="Times New Roman"/>
          <w:lang w:val="el-GR"/>
        </w:rPr>
        <w:t>την διακράτηση μετοχών</w:t>
      </w:r>
    </w:p>
    <w:p w14:paraId="5CD618AF" w14:textId="051138CA" w:rsidR="00183C2B" w:rsidRDefault="00183C2B" w:rsidP="00BF760B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Αγορά μετοχών με στόχο την πώληση τους εντός της ημέρας και την επίτευξη κέρδους</w:t>
      </w:r>
    </w:p>
    <w:p w14:paraId="00BC59EE" w14:textId="7E66ACF1" w:rsidR="00183C2B" w:rsidRDefault="00D515B9" w:rsidP="00BF760B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Αγορά συγκεκριμένων μετοχών πριν το διάγγελμα του Πρωθυπουργού</w:t>
      </w:r>
    </w:p>
    <w:p w14:paraId="743DF48A" w14:textId="34B56EB4" w:rsidR="005549C0" w:rsidRPr="004B1561" w:rsidRDefault="001172F5" w:rsidP="005549C0">
      <w:pPr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l-GR"/>
        </w:rPr>
        <w:t>Πραγματοποι</w:t>
      </w:r>
      <w:r w:rsidR="000F3711">
        <w:rPr>
          <w:rFonts w:ascii="Times New Roman" w:hAnsi="Times New Roman" w:cs="Times New Roman"/>
          <w:lang w:val="el-GR"/>
        </w:rPr>
        <w:t>η</w:t>
      </w:r>
      <w:r>
        <w:rPr>
          <w:rFonts w:ascii="Times New Roman" w:hAnsi="Times New Roman" w:cs="Times New Roman"/>
          <w:lang w:val="el-GR"/>
        </w:rPr>
        <w:t>θείσες</w:t>
      </w:r>
      <w:r w:rsidR="004B1561">
        <w:rPr>
          <w:rFonts w:ascii="Times New Roman" w:hAnsi="Times New Roman" w:cs="Times New Roman"/>
          <w:lang w:val="el-GR"/>
        </w:rPr>
        <w:t xml:space="preserve"> συναλλαγές προ διαγγέλματος</w:t>
      </w:r>
      <w:r w:rsidR="004B1561">
        <w:rPr>
          <w:rFonts w:ascii="Times New Roman" w:hAnsi="Times New Roman" w:cs="Times New Roman"/>
          <w:lang w:val="en-US"/>
        </w:rPr>
        <w:t xml:space="preserve">: </w:t>
      </w:r>
    </w:p>
    <w:tbl>
      <w:tblPr>
        <w:tblStyle w:val="ListTable6ColourfulAccent6"/>
        <w:tblW w:w="9311" w:type="dxa"/>
        <w:jc w:val="center"/>
        <w:tblLook w:val="0520" w:firstRow="1" w:lastRow="0" w:firstColumn="0" w:lastColumn="1" w:noHBand="0" w:noVBand="1"/>
      </w:tblPr>
      <w:tblGrid>
        <w:gridCol w:w="1957"/>
        <w:gridCol w:w="1793"/>
        <w:gridCol w:w="1386"/>
        <w:gridCol w:w="1386"/>
        <w:gridCol w:w="1403"/>
        <w:gridCol w:w="1386"/>
      </w:tblGrid>
      <w:tr w:rsidR="00D66E49" w:rsidRPr="00B34A9F" w14:paraId="2B48D43B" w14:textId="77777777" w:rsidTr="00D66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tcW w:w="1957" w:type="dxa"/>
            <w:noWrap/>
            <w:hideMark/>
          </w:tcPr>
          <w:p w14:paraId="786FF185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Ημερομηνία</w:t>
            </w:r>
          </w:p>
        </w:tc>
        <w:tc>
          <w:tcPr>
            <w:tcW w:w="1793" w:type="dxa"/>
            <w:noWrap/>
            <w:hideMark/>
          </w:tcPr>
          <w:p w14:paraId="799176CC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Συναλλαγή</w:t>
            </w:r>
          </w:p>
        </w:tc>
        <w:tc>
          <w:tcPr>
            <w:tcW w:w="1386" w:type="dxa"/>
            <w:noWrap/>
            <w:hideMark/>
          </w:tcPr>
          <w:p w14:paraId="5C875722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Μετοχή</w:t>
            </w:r>
          </w:p>
        </w:tc>
        <w:tc>
          <w:tcPr>
            <w:tcW w:w="1386" w:type="dxa"/>
            <w:noWrap/>
            <w:hideMark/>
          </w:tcPr>
          <w:p w14:paraId="4F26AA43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Τιμή</w:t>
            </w:r>
          </w:p>
        </w:tc>
        <w:tc>
          <w:tcPr>
            <w:tcW w:w="1403" w:type="dxa"/>
            <w:noWrap/>
            <w:hideMark/>
          </w:tcPr>
          <w:p w14:paraId="195EB04C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Τεμάχια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noWrap/>
            <w:hideMark/>
          </w:tcPr>
          <w:p w14:paraId="609E12EC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Αξία</w:t>
            </w:r>
          </w:p>
        </w:tc>
      </w:tr>
      <w:tr w:rsidR="00B34A9F" w:rsidRPr="00B34A9F" w14:paraId="31667D30" w14:textId="77777777" w:rsidTr="00D66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tcW w:w="1957" w:type="dxa"/>
            <w:noWrap/>
            <w:hideMark/>
          </w:tcPr>
          <w:p w14:paraId="2402B5E0" w14:textId="77777777" w:rsidR="00B34A9F" w:rsidRPr="00B34A9F" w:rsidRDefault="00B34A9F" w:rsidP="00B34A9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16-04-20</w:t>
            </w:r>
          </w:p>
        </w:tc>
        <w:tc>
          <w:tcPr>
            <w:tcW w:w="1793" w:type="dxa"/>
            <w:noWrap/>
            <w:hideMark/>
          </w:tcPr>
          <w:p w14:paraId="17080F12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Αγορά</w:t>
            </w:r>
          </w:p>
        </w:tc>
        <w:tc>
          <w:tcPr>
            <w:tcW w:w="1386" w:type="dxa"/>
            <w:noWrap/>
            <w:hideMark/>
          </w:tcPr>
          <w:p w14:paraId="2B36DDF6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ΕΛΤΟΝ</w:t>
            </w:r>
          </w:p>
        </w:tc>
        <w:tc>
          <w:tcPr>
            <w:tcW w:w="1386" w:type="dxa"/>
            <w:noWrap/>
            <w:hideMark/>
          </w:tcPr>
          <w:p w14:paraId="72EDF796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1.365</w:t>
            </w:r>
          </w:p>
        </w:tc>
        <w:tc>
          <w:tcPr>
            <w:tcW w:w="1403" w:type="dxa"/>
            <w:noWrap/>
            <w:hideMark/>
          </w:tcPr>
          <w:p w14:paraId="2E4031CD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2,000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noWrap/>
            <w:hideMark/>
          </w:tcPr>
          <w:p w14:paraId="6FC34622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2,730</w:t>
            </w:r>
          </w:p>
        </w:tc>
      </w:tr>
      <w:tr w:rsidR="00D66E49" w:rsidRPr="00B34A9F" w14:paraId="5F6119F9" w14:textId="77777777" w:rsidTr="00D66E49">
        <w:trPr>
          <w:trHeight w:val="403"/>
          <w:jc w:val="center"/>
        </w:trPr>
        <w:tc>
          <w:tcPr>
            <w:tcW w:w="1957" w:type="dxa"/>
            <w:noWrap/>
            <w:hideMark/>
          </w:tcPr>
          <w:p w14:paraId="43DD7793" w14:textId="77777777" w:rsidR="00B34A9F" w:rsidRPr="00B34A9F" w:rsidRDefault="00B34A9F" w:rsidP="00B34A9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21-04-20</w:t>
            </w:r>
          </w:p>
        </w:tc>
        <w:tc>
          <w:tcPr>
            <w:tcW w:w="1793" w:type="dxa"/>
            <w:noWrap/>
            <w:hideMark/>
          </w:tcPr>
          <w:p w14:paraId="224113C7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Πώληση</w:t>
            </w:r>
          </w:p>
        </w:tc>
        <w:tc>
          <w:tcPr>
            <w:tcW w:w="1386" w:type="dxa"/>
            <w:noWrap/>
            <w:hideMark/>
          </w:tcPr>
          <w:p w14:paraId="35A076CF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ΙΑΣΩ</w:t>
            </w:r>
          </w:p>
        </w:tc>
        <w:tc>
          <w:tcPr>
            <w:tcW w:w="1386" w:type="dxa"/>
            <w:noWrap/>
            <w:hideMark/>
          </w:tcPr>
          <w:p w14:paraId="67FAC1E8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1.345</w:t>
            </w:r>
          </w:p>
        </w:tc>
        <w:tc>
          <w:tcPr>
            <w:tcW w:w="1403" w:type="dxa"/>
            <w:noWrap/>
            <w:hideMark/>
          </w:tcPr>
          <w:p w14:paraId="19EDD1E7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2,000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noWrap/>
            <w:hideMark/>
          </w:tcPr>
          <w:p w14:paraId="539A3E9E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2,690</w:t>
            </w:r>
          </w:p>
        </w:tc>
      </w:tr>
      <w:tr w:rsidR="00B34A9F" w:rsidRPr="00B34A9F" w14:paraId="4A2E351A" w14:textId="77777777" w:rsidTr="00D66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tcW w:w="1957" w:type="dxa"/>
            <w:noWrap/>
            <w:hideMark/>
          </w:tcPr>
          <w:p w14:paraId="2B2E58D9" w14:textId="77777777" w:rsidR="00B34A9F" w:rsidRPr="00B34A9F" w:rsidRDefault="00B34A9F" w:rsidP="00B34A9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28-04-20</w:t>
            </w:r>
          </w:p>
        </w:tc>
        <w:tc>
          <w:tcPr>
            <w:tcW w:w="1793" w:type="dxa"/>
            <w:noWrap/>
            <w:hideMark/>
          </w:tcPr>
          <w:p w14:paraId="2C134C2F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Αγορά</w:t>
            </w:r>
          </w:p>
        </w:tc>
        <w:tc>
          <w:tcPr>
            <w:tcW w:w="1386" w:type="dxa"/>
            <w:noWrap/>
            <w:hideMark/>
          </w:tcPr>
          <w:p w14:paraId="7B5E6842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ΠΛΑΘ</w:t>
            </w:r>
          </w:p>
        </w:tc>
        <w:tc>
          <w:tcPr>
            <w:tcW w:w="1386" w:type="dxa"/>
            <w:noWrap/>
            <w:hideMark/>
          </w:tcPr>
          <w:p w14:paraId="6FD2AD3A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1.916</w:t>
            </w:r>
          </w:p>
        </w:tc>
        <w:tc>
          <w:tcPr>
            <w:tcW w:w="1403" w:type="dxa"/>
            <w:noWrap/>
            <w:hideMark/>
          </w:tcPr>
          <w:p w14:paraId="004C70A7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color w:val="000000"/>
                <w:lang w:eastAsia="en-GB"/>
              </w:rPr>
              <w:t>5,213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noWrap/>
            <w:hideMark/>
          </w:tcPr>
          <w:p w14:paraId="0F8A5D69" w14:textId="77777777" w:rsidR="00B34A9F" w:rsidRPr="00B34A9F" w:rsidRDefault="00B34A9F" w:rsidP="00B34A9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B34A9F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9,989</w:t>
            </w:r>
          </w:p>
        </w:tc>
      </w:tr>
    </w:tbl>
    <w:p w14:paraId="52B7390D" w14:textId="77777777" w:rsidR="00BB40B1" w:rsidRDefault="00BB40B1" w:rsidP="007611A6">
      <w:pPr>
        <w:jc w:val="both"/>
        <w:rPr>
          <w:rFonts w:ascii="Times New Roman" w:hAnsi="Times New Roman" w:cs="Times New Roman"/>
          <w:lang w:val="el-GR"/>
        </w:rPr>
      </w:pPr>
    </w:p>
    <w:p w14:paraId="4AC4ADF0" w14:textId="10852D05" w:rsidR="00222B54" w:rsidRDefault="0080362A" w:rsidP="0080362A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Κατά τις πρώτες ημέρες διαχείρισης του χαρτοφυλακίου θεωρήθηκε ελκυστική η τιμή της μετοχής ΙΑΣΩ καθώς και απαραίτητη η αναδιάρθρωση των κατεχόμενων μετοχών ΙΑΣΩ και ΕΛΤΟΝ. Επίσης η μετοχή </w:t>
      </w:r>
      <w:r>
        <w:rPr>
          <w:rFonts w:ascii="Times New Roman" w:hAnsi="Times New Roman" w:cs="Times New Roman"/>
          <w:lang w:val="el-GR"/>
        </w:rPr>
        <w:lastRenderedPageBreak/>
        <w:t xml:space="preserve">ΙΑΣΩ, μετοχή η οποία επιλέχθηκε λόγω τον προοπτικών και του κλάδου δραστηριοποίησης της, κινούταν καθοδικά χωρίς μεγάλες μεταβολές κατά την διάρκεια της ημέρας. Εν συνεχεία, η αγορά μετοχών </w:t>
      </w:r>
      <w:r w:rsidR="001E1C60">
        <w:rPr>
          <w:rFonts w:ascii="Times New Roman" w:hAnsi="Times New Roman" w:cs="Times New Roman"/>
          <w:lang w:val="el-GR"/>
        </w:rPr>
        <w:t xml:space="preserve">ΠΛΑΘ πραγματοποιήθηκε </w:t>
      </w:r>
      <w:r w:rsidR="003A2E44">
        <w:rPr>
          <w:rFonts w:ascii="Times New Roman" w:hAnsi="Times New Roman" w:cs="Times New Roman"/>
          <w:lang w:val="el-GR"/>
        </w:rPr>
        <w:t xml:space="preserve">πριν το διάγγελμα του Πρωθυπουργού </w:t>
      </w:r>
      <w:r w:rsidR="00202841">
        <w:rPr>
          <w:rFonts w:ascii="Times New Roman" w:hAnsi="Times New Roman" w:cs="Times New Roman"/>
          <w:lang w:val="el-GR"/>
        </w:rPr>
        <w:t xml:space="preserve">λόγω των θετικών προοπτικών για την μετοχή και </w:t>
      </w:r>
      <w:r w:rsidR="00D13554">
        <w:rPr>
          <w:rFonts w:ascii="Times New Roman" w:hAnsi="Times New Roman" w:cs="Times New Roman"/>
          <w:lang w:val="el-GR"/>
        </w:rPr>
        <w:t>των διακυμάνσεων της</w:t>
      </w:r>
      <w:r w:rsidR="00202841">
        <w:rPr>
          <w:rFonts w:ascii="Times New Roman" w:hAnsi="Times New Roman" w:cs="Times New Roman"/>
          <w:lang w:val="el-GR"/>
        </w:rPr>
        <w:t xml:space="preserve"> </w:t>
      </w:r>
      <w:r w:rsidR="005D6564">
        <w:rPr>
          <w:rFonts w:ascii="Times New Roman" w:hAnsi="Times New Roman" w:cs="Times New Roman"/>
          <w:lang w:val="el-GR"/>
        </w:rPr>
        <w:t>μέχρι τις 28-04-20.</w:t>
      </w:r>
    </w:p>
    <w:p w14:paraId="587565B9" w14:textId="61841EDC" w:rsidR="00222B54" w:rsidRDefault="0019450E" w:rsidP="0080362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="00222B54">
        <w:rPr>
          <w:rFonts w:ascii="Times New Roman" w:hAnsi="Times New Roman" w:cs="Times New Roman"/>
          <w:lang w:val="el-GR"/>
        </w:rPr>
        <w:t>Πραγματοποιηθείσες συναλλαγές μετά διαγγέλματος</w:t>
      </w:r>
      <w:r w:rsidR="00222B54">
        <w:rPr>
          <w:rFonts w:ascii="Times New Roman" w:hAnsi="Times New Roman" w:cs="Times New Roman"/>
          <w:lang w:val="en-US"/>
        </w:rPr>
        <w:t xml:space="preserve">: </w:t>
      </w:r>
    </w:p>
    <w:tbl>
      <w:tblPr>
        <w:tblStyle w:val="ListTable6ColourfulAccent6"/>
        <w:tblW w:w="9194" w:type="dxa"/>
        <w:jc w:val="center"/>
        <w:tblLook w:val="0520" w:firstRow="1" w:lastRow="0" w:firstColumn="0" w:lastColumn="1" w:noHBand="0" w:noVBand="1"/>
      </w:tblPr>
      <w:tblGrid>
        <w:gridCol w:w="1932"/>
        <w:gridCol w:w="1769"/>
        <w:gridCol w:w="1369"/>
        <w:gridCol w:w="1369"/>
        <w:gridCol w:w="1386"/>
        <w:gridCol w:w="1369"/>
      </w:tblGrid>
      <w:tr w:rsidR="00282B68" w:rsidRPr="006A7B3D" w14:paraId="0F3D286F" w14:textId="77777777" w:rsidTr="0028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tcW w:w="1932" w:type="dxa"/>
            <w:noWrap/>
            <w:hideMark/>
          </w:tcPr>
          <w:p w14:paraId="16BF423C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Ημερομηνία</w:t>
            </w:r>
          </w:p>
        </w:tc>
        <w:tc>
          <w:tcPr>
            <w:tcW w:w="1769" w:type="dxa"/>
            <w:noWrap/>
            <w:hideMark/>
          </w:tcPr>
          <w:p w14:paraId="425CA37B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Συναλλαγή</w:t>
            </w:r>
          </w:p>
        </w:tc>
        <w:tc>
          <w:tcPr>
            <w:tcW w:w="1369" w:type="dxa"/>
            <w:noWrap/>
            <w:hideMark/>
          </w:tcPr>
          <w:p w14:paraId="76F87B8C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Μετοχή</w:t>
            </w:r>
          </w:p>
        </w:tc>
        <w:tc>
          <w:tcPr>
            <w:tcW w:w="1369" w:type="dxa"/>
            <w:noWrap/>
            <w:hideMark/>
          </w:tcPr>
          <w:p w14:paraId="35A8B035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Τιμή</w:t>
            </w:r>
          </w:p>
        </w:tc>
        <w:tc>
          <w:tcPr>
            <w:tcW w:w="1386" w:type="dxa"/>
            <w:noWrap/>
            <w:hideMark/>
          </w:tcPr>
          <w:p w14:paraId="237CAEF5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Τεμάχια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150AE58" w14:textId="77777777" w:rsidR="006A7B3D" w:rsidRPr="006A7B3D" w:rsidRDefault="006A7B3D" w:rsidP="00D0702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Αξία</w:t>
            </w:r>
          </w:p>
        </w:tc>
      </w:tr>
      <w:tr w:rsidR="006A7B3D" w:rsidRPr="006A7B3D" w14:paraId="00AE1435" w14:textId="77777777" w:rsidTr="0028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tcW w:w="1932" w:type="dxa"/>
            <w:noWrap/>
            <w:hideMark/>
          </w:tcPr>
          <w:p w14:paraId="3844E239" w14:textId="77777777" w:rsidR="006A7B3D" w:rsidRPr="006A7B3D" w:rsidRDefault="006A7B3D" w:rsidP="006A7B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07-05-20</w:t>
            </w:r>
          </w:p>
        </w:tc>
        <w:tc>
          <w:tcPr>
            <w:tcW w:w="1769" w:type="dxa"/>
            <w:noWrap/>
            <w:hideMark/>
          </w:tcPr>
          <w:p w14:paraId="45A77704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Πώληση</w:t>
            </w:r>
          </w:p>
        </w:tc>
        <w:tc>
          <w:tcPr>
            <w:tcW w:w="1369" w:type="dxa"/>
            <w:noWrap/>
            <w:hideMark/>
          </w:tcPr>
          <w:p w14:paraId="448DAF91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ΕΛΤΟΝ</w:t>
            </w:r>
          </w:p>
        </w:tc>
        <w:tc>
          <w:tcPr>
            <w:tcW w:w="1369" w:type="dxa"/>
            <w:noWrap/>
            <w:hideMark/>
          </w:tcPr>
          <w:p w14:paraId="0A9522B9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386" w:type="dxa"/>
            <w:noWrap/>
            <w:hideMark/>
          </w:tcPr>
          <w:p w14:paraId="1661CCE8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0FE8E83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665</w:t>
            </w:r>
          </w:p>
        </w:tc>
      </w:tr>
      <w:tr w:rsidR="00282B68" w:rsidRPr="006A7B3D" w14:paraId="0C402708" w14:textId="77777777" w:rsidTr="00282B68">
        <w:trPr>
          <w:trHeight w:val="349"/>
          <w:jc w:val="center"/>
        </w:trPr>
        <w:tc>
          <w:tcPr>
            <w:tcW w:w="1932" w:type="dxa"/>
            <w:noWrap/>
            <w:hideMark/>
          </w:tcPr>
          <w:p w14:paraId="3149D5D9" w14:textId="77777777" w:rsidR="006A7B3D" w:rsidRPr="006A7B3D" w:rsidRDefault="006A7B3D" w:rsidP="006A7B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07-05-20</w:t>
            </w:r>
          </w:p>
        </w:tc>
        <w:tc>
          <w:tcPr>
            <w:tcW w:w="1769" w:type="dxa"/>
            <w:noWrap/>
            <w:hideMark/>
          </w:tcPr>
          <w:p w14:paraId="789DC032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Πώληση</w:t>
            </w:r>
          </w:p>
        </w:tc>
        <w:tc>
          <w:tcPr>
            <w:tcW w:w="1369" w:type="dxa"/>
            <w:noWrap/>
            <w:hideMark/>
          </w:tcPr>
          <w:p w14:paraId="56E325C0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ΠΛΑΘ</w:t>
            </w:r>
          </w:p>
        </w:tc>
        <w:tc>
          <w:tcPr>
            <w:tcW w:w="1369" w:type="dxa"/>
            <w:noWrap/>
            <w:hideMark/>
          </w:tcPr>
          <w:p w14:paraId="632C286A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1.684</w:t>
            </w:r>
          </w:p>
        </w:tc>
        <w:tc>
          <w:tcPr>
            <w:tcW w:w="1386" w:type="dxa"/>
            <w:noWrap/>
            <w:hideMark/>
          </w:tcPr>
          <w:p w14:paraId="30175967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ACD97AB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1,684</w:t>
            </w:r>
          </w:p>
        </w:tc>
      </w:tr>
      <w:tr w:rsidR="006A7B3D" w:rsidRPr="006A7B3D" w14:paraId="3672D181" w14:textId="77777777" w:rsidTr="0028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tcW w:w="1932" w:type="dxa"/>
            <w:noWrap/>
            <w:hideMark/>
          </w:tcPr>
          <w:p w14:paraId="14262252" w14:textId="77777777" w:rsidR="006A7B3D" w:rsidRPr="006A7B3D" w:rsidRDefault="006A7B3D" w:rsidP="006A7B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11-05-20</w:t>
            </w:r>
          </w:p>
        </w:tc>
        <w:tc>
          <w:tcPr>
            <w:tcW w:w="1769" w:type="dxa"/>
            <w:noWrap/>
            <w:hideMark/>
          </w:tcPr>
          <w:p w14:paraId="15FF510C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Αγορά</w:t>
            </w:r>
          </w:p>
        </w:tc>
        <w:tc>
          <w:tcPr>
            <w:tcW w:w="1369" w:type="dxa"/>
            <w:noWrap/>
            <w:hideMark/>
          </w:tcPr>
          <w:p w14:paraId="7ED5081B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ΣΑΡ</w:t>
            </w:r>
          </w:p>
        </w:tc>
        <w:tc>
          <w:tcPr>
            <w:tcW w:w="1369" w:type="dxa"/>
            <w:noWrap/>
            <w:hideMark/>
          </w:tcPr>
          <w:p w14:paraId="4DA4F057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8.2</w:t>
            </w:r>
          </w:p>
        </w:tc>
        <w:tc>
          <w:tcPr>
            <w:tcW w:w="1386" w:type="dxa"/>
            <w:noWrap/>
            <w:hideMark/>
          </w:tcPr>
          <w:p w14:paraId="4BA50F40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646D555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1,361</w:t>
            </w:r>
          </w:p>
        </w:tc>
      </w:tr>
      <w:tr w:rsidR="00282B68" w:rsidRPr="006A7B3D" w14:paraId="79C37404" w14:textId="77777777" w:rsidTr="00282B68">
        <w:trPr>
          <w:trHeight w:val="349"/>
          <w:jc w:val="center"/>
        </w:trPr>
        <w:tc>
          <w:tcPr>
            <w:tcW w:w="1932" w:type="dxa"/>
            <w:noWrap/>
            <w:hideMark/>
          </w:tcPr>
          <w:p w14:paraId="6DDC2178" w14:textId="77777777" w:rsidR="006A7B3D" w:rsidRPr="006A7B3D" w:rsidRDefault="006A7B3D" w:rsidP="006A7B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11-05-20</w:t>
            </w:r>
          </w:p>
        </w:tc>
        <w:tc>
          <w:tcPr>
            <w:tcW w:w="1769" w:type="dxa"/>
            <w:noWrap/>
            <w:hideMark/>
          </w:tcPr>
          <w:p w14:paraId="30FCF01B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Πώληση</w:t>
            </w:r>
          </w:p>
        </w:tc>
        <w:tc>
          <w:tcPr>
            <w:tcW w:w="1369" w:type="dxa"/>
            <w:noWrap/>
            <w:hideMark/>
          </w:tcPr>
          <w:p w14:paraId="72940ADB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ΣΑΡ</w:t>
            </w:r>
          </w:p>
        </w:tc>
        <w:tc>
          <w:tcPr>
            <w:tcW w:w="1369" w:type="dxa"/>
            <w:noWrap/>
            <w:hideMark/>
          </w:tcPr>
          <w:p w14:paraId="3471659A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8.35</w:t>
            </w:r>
          </w:p>
        </w:tc>
        <w:tc>
          <w:tcPr>
            <w:tcW w:w="1386" w:type="dxa"/>
            <w:noWrap/>
            <w:hideMark/>
          </w:tcPr>
          <w:p w14:paraId="7D538A1A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8E5FA64" w14:textId="77777777" w:rsidR="006A7B3D" w:rsidRPr="006A7B3D" w:rsidRDefault="006A7B3D" w:rsidP="006A7B3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6A7B3D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1,386</w:t>
            </w:r>
          </w:p>
        </w:tc>
      </w:tr>
    </w:tbl>
    <w:p w14:paraId="24A0C88C" w14:textId="77777777" w:rsidR="00222B54" w:rsidRPr="00222B54" w:rsidRDefault="00222B54" w:rsidP="0080362A">
      <w:pPr>
        <w:jc w:val="both"/>
        <w:rPr>
          <w:rFonts w:ascii="Times New Roman" w:hAnsi="Times New Roman" w:cs="Times New Roman"/>
          <w:lang w:val="en-US"/>
        </w:rPr>
      </w:pPr>
    </w:p>
    <w:p w14:paraId="7E6BBEFD" w14:textId="74C0EE92" w:rsidR="006F2E6D" w:rsidRDefault="000A2CC5" w:rsidP="007611A6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συναλλαγές που πραγματοποιήθηκαν στις 07-05-20 </w:t>
      </w:r>
      <w:r w:rsidR="00E50FAA">
        <w:rPr>
          <w:rFonts w:ascii="Times New Roman" w:hAnsi="Times New Roman" w:cs="Times New Roman"/>
          <w:lang w:val="el-GR"/>
        </w:rPr>
        <w:t>αποσκοπούσαν στο κλείσιμο ζημιών από τις μετοχές</w:t>
      </w:r>
      <w:r w:rsidR="00042E0B">
        <w:rPr>
          <w:rFonts w:ascii="Times New Roman" w:hAnsi="Times New Roman" w:cs="Times New Roman"/>
          <w:lang w:val="el-GR"/>
        </w:rPr>
        <w:t xml:space="preserve"> και οι συναλλαγές στις 11-05-20 </w:t>
      </w:r>
      <w:r w:rsidR="00F04CBC">
        <w:rPr>
          <w:rFonts w:ascii="Times New Roman" w:hAnsi="Times New Roman" w:cs="Times New Roman"/>
          <w:lang w:val="el-GR"/>
        </w:rPr>
        <w:t>είχαν κερδοσκοπικό χαρακτήρα.</w:t>
      </w:r>
    </w:p>
    <w:p w14:paraId="288D427D" w14:textId="5D5A87FB" w:rsidR="00F04CBC" w:rsidRDefault="00D744FD" w:rsidP="00D744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92D7D">
        <w:rPr>
          <w:rFonts w:ascii="Times New Roman" w:hAnsi="Times New Roman" w:cs="Times New Roman"/>
          <w:b/>
          <w:bCs/>
          <w:sz w:val="24"/>
          <w:szCs w:val="24"/>
          <w:lang w:val="el-GR"/>
        </w:rPr>
        <w:t>Ρευστοποίηση Χαρτοφυλακίου</w:t>
      </w:r>
    </w:p>
    <w:p w14:paraId="751F9401" w14:textId="61134225" w:rsidR="00292D7D" w:rsidRDefault="00227065" w:rsidP="00292D7D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χαρτοφυλάκιο θεωρήθηκε πως ρευστοποιήθηκε στις 22-05-20 στις τιμές κλεισίματος. </w:t>
      </w:r>
      <w:r w:rsidR="00C90D59">
        <w:rPr>
          <w:rFonts w:ascii="Times New Roman" w:hAnsi="Times New Roman" w:cs="Times New Roman"/>
          <w:lang w:val="el-GR"/>
        </w:rPr>
        <w:t>Με</w:t>
      </w:r>
      <w:r w:rsidR="0009106A">
        <w:rPr>
          <w:rFonts w:ascii="Times New Roman" w:hAnsi="Times New Roman" w:cs="Times New Roman"/>
          <w:lang w:val="el-GR"/>
        </w:rPr>
        <w:t xml:space="preserve"> βάση</w:t>
      </w:r>
      <w:r w:rsidR="00C90D59">
        <w:rPr>
          <w:rFonts w:ascii="Times New Roman" w:hAnsi="Times New Roman" w:cs="Times New Roman"/>
          <w:lang w:val="el-GR"/>
        </w:rPr>
        <w:t xml:space="preserve"> τα παρακάτω στοιχεία παρατηρούμε πως το χαρτοφυλ</w:t>
      </w:r>
      <w:r w:rsidR="00620B10">
        <w:rPr>
          <w:rFonts w:ascii="Times New Roman" w:hAnsi="Times New Roman" w:cs="Times New Roman"/>
          <w:lang w:val="el-GR"/>
        </w:rPr>
        <w:t xml:space="preserve">άκιο μετοχών έχει θετικά αποτελέσματα συγκριτικά πάντα με τον Γενικό Δείκτη Χρηματιστηρίου Αθηνών. </w:t>
      </w:r>
      <w:r w:rsidR="00705B11">
        <w:rPr>
          <w:rFonts w:ascii="Times New Roman" w:hAnsi="Times New Roman" w:cs="Times New Roman"/>
          <w:lang w:val="el-GR"/>
        </w:rPr>
        <w:t xml:space="preserve">Σκοπός του αμυντικού χαρτοφυλακίου ήταν </w:t>
      </w:r>
      <w:r w:rsidR="003A6E1D">
        <w:rPr>
          <w:rFonts w:ascii="Times New Roman" w:hAnsi="Times New Roman" w:cs="Times New Roman"/>
          <w:lang w:val="el-GR"/>
        </w:rPr>
        <w:t xml:space="preserve">ο περιορισμός των αρνητικών μεταβολών σε σχέση με τον Γενικό Δείκτη και όσο το δυνατόν </w:t>
      </w:r>
      <w:r w:rsidR="003974B2">
        <w:rPr>
          <w:rFonts w:ascii="Times New Roman" w:hAnsi="Times New Roman" w:cs="Times New Roman"/>
          <w:lang w:val="el-GR"/>
        </w:rPr>
        <w:t>υψηλότερες θετικές μεταβολές</w:t>
      </w:r>
      <w:r w:rsidR="00CB2558">
        <w:rPr>
          <w:rFonts w:ascii="Times New Roman" w:hAnsi="Times New Roman" w:cs="Times New Roman"/>
          <w:lang w:val="el-GR"/>
        </w:rPr>
        <w:t>.</w:t>
      </w:r>
    </w:p>
    <w:tbl>
      <w:tblPr>
        <w:tblStyle w:val="ListTable6ColourfulAccent6"/>
        <w:tblW w:w="9135" w:type="dxa"/>
        <w:jc w:val="center"/>
        <w:tblLook w:val="04A0" w:firstRow="1" w:lastRow="0" w:firstColumn="1" w:lastColumn="0" w:noHBand="0" w:noVBand="1"/>
      </w:tblPr>
      <w:tblGrid>
        <w:gridCol w:w="7152"/>
        <w:gridCol w:w="1983"/>
      </w:tblGrid>
      <w:tr w:rsidR="001C62A2" w:rsidRPr="001C62A2" w14:paraId="37FC67E1" w14:textId="77777777" w:rsidTr="001C6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5" w:type="dxa"/>
            <w:gridSpan w:val="2"/>
            <w:noWrap/>
            <w:hideMark/>
          </w:tcPr>
          <w:p w14:paraId="0169194E" w14:textId="77777777" w:rsidR="001C62A2" w:rsidRPr="001C62A2" w:rsidRDefault="001C62A2" w:rsidP="001C62A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Αποτελέσματα</w:t>
            </w:r>
          </w:p>
        </w:tc>
      </w:tr>
      <w:tr w:rsidR="001C62A2" w:rsidRPr="001C62A2" w14:paraId="1847160E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6929F276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Ημέρες Παρακολούθησης</w:t>
            </w:r>
          </w:p>
        </w:tc>
        <w:tc>
          <w:tcPr>
            <w:tcW w:w="1983" w:type="dxa"/>
            <w:noWrap/>
            <w:hideMark/>
          </w:tcPr>
          <w:p w14:paraId="0947885D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1C62A2" w:rsidRPr="001C62A2" w14:paraId="1782E92F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7A25C863" w14:textId="22C8B544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Κεφάλαιο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  <w:t xml:space="preserve"> Αρχής</w:t>
            </w: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 xml:space="preserve"> 10-04-20</w:t>
            </w:r>
          </w:p>
        </w:tc>
        <w:tc>
          <w:tcPr>
            <w:tcW w:w="1983" w:type="dxa"/>
            <w:noWrap/>
            <w:hideMark/>
          </w:tcPr>
          <w:p w14:paraId="16856BBD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100,000</w:t>
            </w:r>
          </w:p>
        </w:tc>
      </w:tr>
      <w:tr w:rsidR="001C62A2" w:rsidRPr="001C62A2" w14:paraId="40B0F83C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14387A68" w14:textId="42EF4736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Κεφάλαιο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  <w:t xml:space="preserve"> Τέλους</w:t>
            </w: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 xml:space="preserve"> 22-05-20</w:t>
            </w:r>
          </w:p>
        </w:tc>
        <w:tc>
          <w:tcPr>
            <w:tcW w:w="1983" w:type="dxa"/>
            <w:noWrap/>
            <w:hideMark/>
          </w:tcPr>
          <w:p w14:paraId="55BCA273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104,018</w:t>
            </w:r>
          </w:p>
        </w:tc>
      </w:tr>
      <w:tr w:rsidR="001C62A2" w:rsidRPr="001C62A2" w14:paraId="37576101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602FE332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Απόδοση Χαρτοφυλακίου</w:t>
            </w:r>
          </w:p>
        </w:tc>
        <w:tc>
          <w:tcPr>
            <w:tcW w:w="1983" w:type="dxa"/>
            <w:noWrap/>
            <w:hideMark/>
          </w:tcPr>
          <w:p w14:paraId="282BE75B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4.018%</w:t>
            </w:r>
          </w:p>
        </w:tc>
      </w:tr>
      <w:tr w:rsidR="001C62A2" w:rsidRPr="001C62A2" w14:paraId="6F33206F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2E314020" w14:textId="1B280BA4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Απόδοση Γ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  <w:t>ενικού Δείκτη</w:t>
            </w:r>
          </w:p>
        </w:tc>
        <w:tc>
          <w:tcPr>
            <w:tcW w:w="1983" w:type="dxa"/>
            <w:noWrap/>
            <w:hideMark/>
          </w:tcPr>
          <w:p w14:paraId="3275E085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0.315%</w:t>
            </w:r>
          </w:p>
        </w:tc>
      </w:tr>
      <w:tr w:rsidR="001C62A2" w:rsidRPr="001C62A2" w14:paraId="1ED2DF5F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17704587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Risk Free Rate - rf</w:t>
            </w:r>
          </w:p>
        </w:tc>
        <w:tc>
          <w:tcPr>
            <w:tcW w:w="1983" w:type="dxa"/>
            <w:noWrap/>
            <w:hideMark/>
          </w:tcPr>
          <w:p w14:paraId="4928019E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4%</w:t>
            </w:r>
          </w:p>
        </w:tc>
      </w:tr>
      <w:tr w:rsidR="001C62A2" w:rsidRPr="001C62A2" w14:paraId="5681FB9C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1ACFF23E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Κίνδυνος Χαρτοφυλακίου</w:t>
            </w:r>
          </w:p>
        </w:tc>
        <w:tc>
          <w:tcPr>
            <w:tcW w:w="1983" w:type="dxa"/>
            <w:noWrap/>
            <w:hideMark/>
          </w:tcPr>
          <w:p w14:paraId="368CE6E0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1.012%</w:t>
            </w:r>
          </w:p>
        </w:tc>
      </w:tr>
      <w:tr w:rsidR="001C62A2" w:rsidRPr="001C62A2" w14:paraId="77491829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539E8083" w14:textId="794D2BD9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Κίνδυνος Γ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  <w:t>ενικού Δείκτη</w:t>
            </w:r>
          </w:p>
        </w:tc>
        <w:tc>
          <w:tcPr>
            <w:tcW w:w="1983" w:type="dxa"/>
            <w:noWrap/>
            <w:hideMark/>
          </w:tcPr>
          <w:p w14:paraId="02B51090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1.919%</w:t>
            </w:r>
          </w:p>
        </w:tc>
      </w:tr>
      <w:tr w:rsidR="001C62A2" w:rsidRPr="001C62A2" w14:paraId="6C9E8BDB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4A30D169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Sharpe Ratio Χαρτοφυλακίου</w:t>
            </w:r>
          </w:p>
        </w:tc>
        <w:tc>
          <w:tcPr>
            <w:tcW w:w="1983" w:type="dxa"/>
            <w:noWrap/>
            <w:hideMark/>
          </w:tcPr>
          <w:p w14:paraId="4DDE84EE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3.689</w:t>
            </w:r>
          </w:p>
        </w:tc>
      </w:tr>
      <w:tr w:rsidR="001C62A2" w:rsidRPr="001C62A2" w14:paraId="638961E5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196831E5" w14:textId="06DCC854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Sharpe Ratio Γ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l-GR" w:eastAsia="en-GB"/>
              </w:rPr>
              <w:t>ενικού Δείκτη</w:t>
            </w:r>
          </w:p>
        </w:tc>
        <w:tc>
          <w:tcPr>
            <w:tcW w:w="1983" w:type="dxa"/>
            <w:noWrap/>
            <w:hideMark/>
          </w:tcPr>
          <w:p w14:paraId="4D4ECFDE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0.164</w:t>
            </w:r>
          </w:p>
        </w:tc>
      </w:tr>
      <w:tr w:rsidR="001C62A2" w:rsidRPr="001C62A2" w14:paraId="67D51772" w14:textId="77777777" w:rsidTr="001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287D7DC3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Beta Χαρτοφυλακίου</w:t>
            </w:r>
          </w:p>
        </w:tc>
        <w:tc>
          <w:tcPr>
            <w:tcW w:w="1983" w:type="dxa"/>
            <w:noWrap/>
            <w:hideMark/>
          </w:tcPr>
          <w:p w14:paraId="714E6712" w14:textId="77777777" w:rsidR="001C62A2" w:rsidRPr="001C62A2" w:rsidRDefault="001C62A2" w:rsidP="001C6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0.468</w:t>
            </w:r>
          </w:p>
        </w:tc>
      </w:tr>
      <w:tr w:rsidR="001C62A2" w:rsidRPr="001C62A2" w14:paraId="21695952" w14:textId="77777777" w:rsidTr="001C62A2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  <w:noWrap/>
            <w:hideMark/>
          </w:tcPr>
          <w:p w14:paraId="74F15EA1" w14:textId="77777777" w:rsidR="001C62A2" w:rsidRPr="001C62A2" w:rsidRDefault="001C62A2" w:rsidP="001C62A2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  <w:t>Benchmarking</w:t>
            </w:r>
          </w:p>
        </w:tc>
        <w:tc>
          <w:tcPr>
            <w:tcW w:w="1983" w:type="dxa"/>
            <w:noWrap/>
            <w:hideMark/>
          </w:tcPr>
          <w:p w14:paraId="6AC84E1B" w14:textId="77777777" w:rsidR="001C62A2" w:rsidRPr="001C62A2" w:rsidRDefault="001C62A2" w:rsidP="001C6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62A2">
              <w:rPr>
                <w:rFonts w:ascii="Calibri" w:eastAsia="Times New Roman" w:hAnsi="Calibri" w:cs="Times New Roman"/>
                <w:color w:val="000000"/>
                <w:lang w:eastAsia="en-GB"/>
              </w:rPr>
              <w:t>3.703%</w:t>
            </w:r>
          </w:p>
        </w:tc>
      </w:tr>
    </w:tbl>
    <w:p w14:paraId="2DD03BFB" w14:textId="78A16F38" w:rsidR="001C62A2" w:rsidRDefault="001C62A2" w:rsidP="00292D7D">
      <w:pPr>
        <w:ind w:firstLine="288"/>
        <w:jc w:val="both"/>
        <w:rPr>
          <w:rFonts w:ascii="Times New Roman" w:hAnsi="Times New Roman" w:cs="Times New Roman"/>
          <w:lang w:val="el-GR"/>
        </w:rPr>
      </w:pPr>
    </w:p>
    <w:p w14:paraId="64349CB8" w14:textId="4FD0592F" w:rsidR="001C62A2" w:rsidRPr="00EA4657" w:rsidRDefault="00CF2042" w:rsidP="001C62A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Στα παρακάτω διαγράμματα απεικονίζονται </w:t>
      </w:r>
      <w:r w:rsidR="001A02A7">
        <w:rPr>
          <w:rFonts w:ascii="Times New Roman" w:hAnsi="Times New Roman" w:cs="Times New Roman"/>
          <w:lang w:val="el-GR"/>
        </w:rPr>
        <w:t xml:space="preserve">οι ημερήσιες διακυμάνσεις </w:t>
      </w:r>
      <w:r w:rsidR="00EA4657">
        <w:rPr>
          <w:rFonts w:ascii="Times New Roman" w:hAnsi="Times New Roman" w:cs="Times New Roman"/>
          <w:lang w:val="el-GR"/>
        </w:rPr>
        <w:t xml:space="preserve">και οι αποδόσεις μεταξύ χαρτοφυλακίου μετοχών και </w:t>
      </w:r>
      <w:r w:rsidR="00005B6A">
        <w:rPr>
          <w:rFonts w:ascii="Times New Roman" w:hAnsi="Times New Roman" w:cs="Times New Roman"/>
          <w:lang w:val="el-GR"/>
        </w:rPr>
        <w:t>Γ</w:t>
      </w:r>
      <w:r w:rsidR="00EA4657">
        <w:rPr>
          <w:rFonts w:ascii="Times New Roman" w:hAnsi="Times New Roman" w:cs="Times New Roman"/>
          <w:lang w:val="el-GR"/>
        </w:rPr>
        <w:t xml:space="preserve">ενικού </w:t>
      </w:r>
      <w:r w:rsidR="00005B6A">
        <w:rPr>
          <w:rFonts w:ascii="Times New Roman" w:hAnsi="Times New Roman" w:cs="Times New Roman"/>
          <w:lang w:val="el-GR"/>
        </w:rPr>
        <w:t>Δ</w:t>
      </w:r>
      <w:r w:rsidR="00EA4657">
        <w:rPr>
          <w:rFonts w:ascii="Times New Roman" w:hAnsi="Times New Roman" w:cs="Times New Roman"/>
          <w:lang w:val="el-GR"/>
        </w:rPr>
        <w:t xml:space="preserve">είκτη χρηματιστηρίου </w:t>
      </w:r>
      <w:r w:rsidR="00005B6A">
        <w:rPr>
          <w:rFonts w:ascii="Times New Roman" w:hAnsi="Times New Roman" w:cs="Times New Roman"/>
          <w:lang w:val="el-GR"/>
        </w:rPr>
        <w:t>Αθηνών</w:t>
      </w:r>
      <w:r w:rsidR="00EA4657" w:rsidRPr="00EA4657">
        <w:rPr>
          <w:rFonts w:ascii="Times New Roman" w:hAnsi="Times New Roman" w:cs="Times New Roman"/>
          <w:lang w:val="el-GR"/>
        </w:rPr>
        <w:t>:</w:t>
      </w:r>
    </w:p>
    <w:p w14:paraId="3735606A" w14:textId="49F378DC" w:rsidR="006009D0" w:rsidRDefault="006009D0" w:rsidP="001C62A2">
      <w:pPr>
        <w:jc w:val="both"/>
        <w:rPr>
          <w:rFonts w:ascii="Times New Roman" w:hAnsi="Times New Roman" w:cs="Times New Roman"/>
          <w:lang w:val="el-GR"/>
        </w:rPr>
      </w:pPr>
    </w:p>
    <w:p w14:paraId="1C707334" w14:textId="21005F38" w:rsidR="008A5E9E" w:rsidRDefault="008A5E9E" w:rsidP="001C62A2">
      <w:pPr>
        <w:jc w:val="both"/>
        <w:rPr>
          <w:rFonts w:ascii="Times New Roman" w:hAnsi="Times New Roman" w:cs="Times New Roman"/>
          <w:lang w:val="el-GR"/>
        </w:rPr>
      </w:pPr>
    </w:p>
    <w:p w14:paraId="4203106B" w14:textId="77777777" w:rsidR="008A5E9E" w:rsidRDefault="008A5E9E" w:rsidP="008A5E9E">
      <w:pPr>
        <w:rPr>
          <w:rFonts w:ascii="Times New Roman" w:hAnsi="Times New Roman" w:cs="Times New Roman"/>
          <w:lang w:val="el-GR"/>
        </w:rPr>
        <w:sectPr w:rsidR="008A5E9E" w:rsidSect="003833E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ABD5376" w14:textId="47A4FAB8" w:rsidR="00C579A9" w:rsidRDefault="00AC0F8A" w:rsidP="00D9560E">
      <w:pPr>
        <w:jc w:val="center"/>
        <w:rPr>
          <w:rFonts w:ascii="Times New Roman" w:hAnsi="Times New Roman" w:cs="Times New Roman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71358227" wp14:editId="2633F552">
            <wp:simplePos x="0" y="0"/>
            <wp:positionH relativeFrom="column">
              <wp:posOffset>67945</wp:posOffset>
            </wp:positionH>
            <wp:positionV relativeFrom="paragraph">
              <wp:posOffset>3002280</wp:posOffset>
            </wp:positionV>
            <wp:extent cx="8086090" cy="2828925"/>
            <wp:effectExtent l="0" t="0" r="10160" b="952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E66AD4B-072E-45DB-BF25-4720543A7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E5013E">
        <w:rPr>
          <w:noProof/>
        </w:rPr>
        <w:drawing>
          <wp:anchor distT="0" distB="0" distL="114300" distR="114300" simplePos="0" relativeHeight="251656704" behindDoc="1" locked="0" layoutInCell="1" allowOverlap="1" wp14:anchorId="58E5D80B" wp14:editId="1575C630">
            <wp:simplePos x="0" y="0"/>
            <wp:positionH relativeFrom="column">
              <wp:posOffset>67945</wp:posOffset>
            </wp:positionH>
            <wp:positionV relativeFrom="paragraph">
              <wp:posOffset>-95885</wp:posOffset>
            </wp:positionV>
            <wp:extent cx="8086090" cy="3028950"/>
            <wp:effectExtent l="0" t="0" r="1016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FFFBBE-9D9B-46E2-A6AA-AF339321D0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977A1" w14:textId="77777777" w:rsidR="00AC0F8A" w:rsidRDefault="00AC0F8A">
      <w:pPr>
        <w:rPr>
          <w:rFonts w:ascii="Times New Roman" w:hAnsi="Times New Roman" w:cs="Times New Roman"/>
          <w:lang w:val="el-GR"/>
        </w:rPr>
        <w:sectPr w:rsidR="00AC0F8A" w:rsidSect="00425956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3DD8876" w14:textId="2B10A44A" w:rsidR="008A5E9E" w:rsidRDefault="00C05978" w:rsidP="00F75CE9">
      <w:pPr>
        <w:jc w:val="both"/>
        <w:rPr>
          <w:rFonts w:ascii="Times New Roman" w:hAnsi="Times New Roman" w:cs="Times New Roman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1" locked="0" layoutInCell="1" allowOverlap="1" wp14:anchorId="17DFFEE7" wp14:editId="727FC48C">
            <wp:simplePos x="0" y="0"/>
            <wp:positionH relativeFrom="column">
              <wp:posOffset>75565</wp:posOffset>
            </wp:positionH>
            <wp:positionV relativeFrom="paragraph">
              <wp:posOffset>476250</wp:posOffset>
            </wp:positionV>
            <wp:extent cx="5781675" cy="2743200"/>
            <wp:effectExtent l="0" t="0" r="9525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F46C6D7-AF41-4EF0-97F7-D49A67394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AC0F8A">
        <w:rPr>
          <w:rFonts w:ascii="Times New Roman" w:hAnsi="Times New Roman" w:cs="Times New Roman"/>
          <w:lang w:val="el-GR"/>
        </w:rPr>
        <w:t xml:space="preserve">Εν </w:t>
      </w:r>
      <w:r w:rsidR="003C2F15">
        <w:rPr>
          <w:rFonts w:ascii="Times New Roman" w:hAnsi="Times New Roman" w:cs="Times New Roman"/>
          <w:lang w:val="el-GR"/>
        </w:rPr>
        <w:t>συνεχεία</w:t>
      </w:r>
      <w:r w:rsidR="00AC0F8A">
        <w:rPr>
          <w:rFonts w:ascii="Times New Roman" w:hAnsi="Times New Roman" w:cs="Times New Roman"/>
          <w:lang w:val="el-GR"/>
        </w:rPr>
        <w:t xml:space="preserve">, στο παρακάτω διάγραμμα συγκρίνονται </w:t>
      </w:r>
      <w:r w:rsidR="003C2F15">
        <w:rPr>
          <w:rFonts w:ascii="Times New Roman" w:hAnsi="Times New Roman" w:cs="Times New Roman"/>
          <w:lang w:val="el-GR"/>
        </w:rPr>
        <w:t xml:space="preserve">το χαρτοφυλάκιο μετοχών και ο γενικός δείκτης όσον αφορά το </w:t>
      </w:r>
      <w:r w:rsidR="003C2F15">
        <w:rPr>
          <w:rFonts w:ascii="Times New Roman" w:hAnsi="Times New Roman" w:cs="Times New Roman"/>
          <w:lang w:val="en-US"/>
        </w:rPr>
        <w:t>Sharpe</w:t>
      </w:r>
      <w:r w:rsidR="003C2F15" w:rsidRPr="003C2F15">
        <w:rPr>
          <w:rFonts w:ascii="Times New Roman" w:hAnsi="Times New Roman" w:cs="Times New Roman"/>
          <w:lang w:val="el-GR"/>
        </w:rPr>
        <w:t xml:space="preserve"> </w:t>
      </w:r>
      <w:r w:rsidR="003C2F15">
        <w:rPr>
          <w:rFonts w:ascii="Times New Roman" w:hAnsi="Times New Roman" w:cs="Times New Roman"/>
          <w:lang w:val="en-US"/>
        </w:rPr>
        <w:t>Ratio</w:t>
      </w:r>
      <w:r w:rsidR="003C2F15" w:rsidRPr="003C2F15">
        <w:rPr>
          <w:rFonts w:ascii="Times New Roman" w:hAnsi="Times New Roman" w:cs="Times New Roman"/>
          <w:lang w:val="el-GR"/>
        </w:rPr>
        <w:t xml:space="preserve">: </w:t>
      </w:r>
    </w:p>
    <w:p w14:paraId="78A42250" w14:textId="2AA42207" w:rsidR="00F75CE9" w:rsidRDefault="00F75CE9" w:rsidP="00AC0F8A">
      <w:pPr>
        <w:rPr>
          <w:rFonts w:ascii="Times New Roman" w:hAnsi="Times New Roman" w:cs="Times New Roman"/>
          <w:lang w:val="el-GR"/>
        </w:rPr>
      </w:pPr>
    </w:p>
    <w:p w14:paraId="75BA210F" w14:textId="08ED4080" w:rsidR="00F75CE9" w:rsidRDefault="00F75CE9" w:rsidP="00F75C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F75CE9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Συμπεράσματα</w:t>
      </w:r>
    </w:p>
    <w:p w14:paraId="10D020EE" w14:textId="3AE2E191" w:rsidR="00F75CE9" w:rsidRPr="002A7262" w:rsidRDefault="00F26F1E" w:rsidP="00005B6A">
      <w:pPr>
        <w:ind w:firstLine="28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Με βάση το επενδυτικό </w:t>
      </w:r>
      <w:r>
        <w:rPr>
          <w:rFonts w:ascii="Times New Roman" w:hAnsi="Times New Roman" w:cs="Times New Roman"/>
          <w:lang w:val="en-US"/>
        </w:rPr>
        <w:t>profile</w:t>
      </w:r>
      <w:r w:rsidRPr="00F26F1E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πο</w:t>
      </w:r>
      <w:r w:rsidR="00E36B21">
        <w:rPr>
          <w:rFonts w:ascii="Times New Roman" w:hAnsi="Times New Roman" w:cs="Times New Roman"/>
          <w:lang w:val="el-GR"/>
        </w:rPr>
        <w:t>υ επιλέχθηκε</w:t>
      </w:r>
      <w:r w:rsidR="000E7E4F">
        <w:rPr>
          <w:rFonts w:ascii="Times New Roman" w:hAnsi="Times New Roman" w:cs="Times New Roman"/>
          <w:lang w:val="el-GR"/>
        </w:rPr>
        <w:t xml:space="preserve"> και </w:t>
      </w:r>
      <w:r w:rsidR="00E36B21">
        <w:rPr>
          <w:rFonts w:ascii="Times New Roman" w:hAnsi="Times New Roman" w:cs="Times New Roman"/>
          <w:lang w:val="el-GR"/>
        </w:rPr>
        <w:t xml:space="preserve">την στρατηγική που ακολουθήθηκε </w:t>
      </w:r>
      <w:r w:rsidR="000E7E4F">
        <w:rPr>
          <w:rFonts w:ascii="Times New Roman" w:hAnsi="Times New Roman" w:cs="Times New Roman"/>
          <w:lang w:val="el-GR"/>
        </w:rPr>
        <w:t>επιτεύχθηκαν οι</w:t>
      </w:r>
      <w:r w:rsidR="00DC4ECE">
        <w:rPr>
          <w:rFonts w:ascii="Times New Roman" w:hAnsi="Times New Roman" w:cs="Times New Roman"/>
          <w:lang w:val="el-GR"/>
        </w:rPr>
        <w:t xml:space="preserve"> επενδυτικοί</w:t>
      </w:r>
      <w:r w:rsidR="000E7E4F">
        <w:rPr>
          <w:rFonts w:ascii="Times New Roman" w:hAnsi="Times New Roman" w:cs="Times New Roman"/>
          <w:lang w:val="el-GR"/>
        </w:rPr>
        <w:t xml:space="preserve"> στόχοι</w:t>
      </w:r>
      <w:r w:rsidR="00434B3D">
        <w:rPr>
          <w:rFonts w:ascii="Times New Roman" w:hAnsi="Times New Roman" w:cs="Times New Roman"/>
          <w:lang w:val="el-GR"/>
        </w:rPr>
        <w:t>, δηλαδή</w:t>
      </w:r>
      <w:r w:rsidR="00162356">
        <w:rPr>
          <w:rFonts w:ascii="Times New Roman" w:hAnsi="Times New Roman" w:cs="Times New Roman"/>
          <w:lang w:val="el-GR"/>
        </w:rPr>
        <w:t xml:space="preserve"> η δημιουργία ενός αμυντικού χαρτοφυλα</w:t>
      </w:r>
      <w:r w:rsidR="00372DDC">
        <w:rPr>
          <w:rFonts w:ascii="Times New Roman" w:hAnsi="Times New Roman" w:cs="Times New Roman"/>
          <w:lang w:val="el-GR"/>
        </w:rPr>
        <w:t>κίου βάση της ανάλυσης,</w:t>
      </w:r>
      <w:r w:rsidR="00434B3D">
        <w:rPr>
          <w:rFonts w:ascii="Times New Roman" w:hAnsi="Times New Roman" w:cs="Times New Roman"/>
          <w:lang w:val="el-GR"/>
        </w:rPr>
        <w:t xml:space="preserve"> η </w:t>
      </w:r>
      <w:r w:rsidR="00DA3CA4">
        <w:rPr>
          <w:rFonts w:ascii="Times New Roman" w:hAnsi="Times New Roman" w:cs="Times New Roman"/>
          <w:lang w:val="el-GR"/>
        </w:rPr>
        <w:t>μειωμένη μεταβλητότητα</w:t>
      </w:r>
      <w:r w:rsidR="00DF68B4">
        <w:rPr>
          <w:rFonts w:ascii="Times New Roman" w:hAnsi="Times New Roman" w:cs="Times New Roman"/>
          <w:lang w:val="el-GR"/>
        </w:rPr>
        <w:t xml:space="preserve"> του χαρτοφυλακίου</w:t>
      </w:r>
      <w:r w:rsidR="00DA3CA4">
        <w:rPr>
          <w:rFonts w:ascii="Times New Roman" w:hAnsi="Times New Roman" w:cs="Times New Roman"/>
          <w:lang w:val="el-GR"/>
        </w:rPr>
        <w:t xml:space="preserve"> σε σχέση με τον γενικό δείκτη</w:t>
      </w:r>
      <w:r w:rsidR="00FB3A44">
        <w:rPr>
          <w:rFonts w:ascii="Times New Roman" w:hAnsi="Times New Roman" w:cs="Times New Roman"/>
          <w:lang w:val="el-GR"/>
        </w:rPr>
        <w:t xml:space="preserve"> </w:t>
      </w:r>
      <w:r w:rsidR="00B86059">
        <w:rPr>
          <w:rFonts w:ascii="Times New Roman" w:hAnsi="Times New Roman" w:cs="Times New Roman"/>
          <w:lang w:val="el-GR"/>
        </w:rPr>
        <w:t>αποδεικνύοντας</w:t>
      </w:r>
      <w:r w:rsidR="00FB3A44">
        <w:rPr>
          <w:rFonts w:ascii="Times New Roman" w:hAnsi="Times New Roman" w:cs="Times New Roman"/>
          <w:lang w:val="el-GR"/>
        </w:rPr>
        <w:t xml:space="preserve"> τον παραπάνω στ</w:t>
      </w:r>
      <w:r w:rsidR="00B86059">
        <w:rPr>
          <w:rFonts w:ascii="Times New Roman" w:hAnsi="Times New Roman" w:cs="Times New Roman"/>
          <w:lang w:val="el-GR"/>
        </w:rPr>
        <w:t>όχο</w:t>
      </w:r>
      <w:r w:rsidR="00DA3CA4">
        <w:rPr>
          <w:rFonts w:ascii="Times New Roman" w:hAnsi="Times New Roman" w:cs="Times New Roman"/>
          <w:lang w:val="el-GR"/>
        </w:rPr>
        <w:t>,</w:t>
      </w:r>
      <w:r w:rsidR="00065A0E">
        <w:rPr>
          <w:rFonts w:ascii="Times New Roman" w:hAnsi="Times New Roman" w:cs="Times New Roman"/>
          <w:lang w:val="el-GR"/>
        </w:rPr>
        <w:t xml:space="preserve"> η επίτευξη θετικής απόδοσης και τέλος </w:t>
      </w:r>
      <w:r w:rsidR="00BF5D3B">
        <w:rPr>
          <w:rFonts w:ascii="Times New Roman" w:hAnsi="Times New Roman" w:cs="Times New Roman"/>
          <w:lang w:val="el-GR"/>
        </w:rPr>
        <w:t xml:space="preserve">ο υψηλότερος δείκτης </w:t>
      </w:r>
      <w:r w:rsidR="00BF5D3B">
        <w:rPr>
          <w:rFonts w:ascii="Times New Roman" w:hAnsi="Times New Roman" w:cs="Times New Roman"/>
          <w:lang w:val="en-US"/>
        </w:rPr>
        <w:t>Sharpe</w:t>
      </w:r>
      <w:r w:rsidR="00BF5D3B" w:rsidRPr="00BF5D3B">
        <w:rPr>
          <w:rFonts w:ascii="Times New Roman" w:hAnsi="Times New Roman" w:cs="Times New Roman"/>
          <w:lang w:val="el-GR"/>
        </w:rPr>
        <w:t xml:space="preserve"> </w:t>
      </w:r>
      <w:r w:rsidR="00BF5D3B">
        <w:rPr>
          <w:rFonts w:ascii="Times New Roman" w:hAnsi="Times New Roman" w:cs="Times New Roman"/>
          <w:lang w:val="en-US"/>
        </w:rPr>
        <w:t>Ratio</w:t>
      </w:r>
      <w:r w:rsidR="00BF5D3B">
        <w:rPr>
          <w:rFonts w:ascii="Times New Roman" w:hAnsi="Times New Roman" w:cs="Times New Roman"/>
          <w:lang w:val="el-GR"/>
        </w:rPr>
        <w:t xml:space="preserve"> σε σχέση με τον δείκτη. </w:t>
      </w:r>
      <w:r w:rsidR="00A624CC">
        <w:rPr>
          <w:rFonts w:ascii="Times New Roman" w:hAnsi="Times New Roman" w:cs="Times New Roman"/>
          <w:lang w:val="el-GR"/>
        </w:rPr>
        <w:t xml:space="preserve">Οι περαιτέρω πληροφορίες και </w:t>
      </w:r>
      <w:r w:rsidR="003F3E37">
        <w:rPr>
          <w:rFonts w:ascii="Times New Roman" w:hAnsi="Times New Roman" w:cs="Times New Roman"/>
          <w:lang w:val="el-GR"/>
        </w:rPr>
        <w:t>αναλύσεις εμφανίζονται στ</w:t>
      </w:r>
      <w:r w:rsidR="002A7262">
        <w:rPr>
          <w:rFonts w:ascii="Times New Roman" w:hAnsi="Times New Roman" w:cs="Times New Roman"/>
          <w:lang w:val="el-GR"/>
        </w:rPr>
        <w:t xml:space="preserve">α αρχεία </w:t>
      </w:r>
      <w:r w:rsidR="002A7262">
        <w:rPr>
          <w:rFonts w:ascii="Times New Roman" w:hAnsi="Times New Roman" w:cs="Times New Roman"/>
          <w:lang w:val="en-US"/>
        </w:rPr>
        <w:t>word</w:t>
      </w:r>
      <w:r w:rsidR="002A7262" w:rsidRPr="002A7262">
        <w:rPr>
          <w:rFonts w:ascii="Times New Roman" w:hAnsi="Times New Roman" w:cs="Times New Roman"/>
          <w:lang w:val="el-GR"/>
        </w:rPr>
        <w:t xml:space="preserve"> </w:t>
      </w:r>
      <w:r w:rsidR="002A7262">
        <w:rPr>
          <w:rFonts w:ascii="Times New Roman" w:hAnsi="Times New Roman" w:cs="Times New Roman"/>
          <w:lang w:val="el-GR"/>
        </w:rPr>
        <w:t xml:space="preserve">και </w:t>
      </w:r>
      <w:r w:rsidR="002A7262">
        <w:rPr>
          <w:rFonts w:ascii="Times New Roman" w:hAnsi="Times New Roman" w:cs="Times New Roman"/>
          <w:lang w:val="en-US"/>
        </w:rPr>
        <w:t>power</w:t>
      </w:r>
      <w:r w:rsidR="002A7262" w:rsidRPr="002A7262">
        <w:rPr>
          <w:rFonts w:ascii="Times New Roman" w:hAnsi="Times New Roman" w:cs="Times New Roman"/>
          <w:lang w:val="el-GR"/>
        </w:rPr>
        <w:t xml:space="preserve"> </w:t>
      </w:r>
      <w:r w:rsidR="002A7262">
        <w:rPr>
          <w:rFonts w:ascii="Times New Roman" w:hAnsi="Times New Roman" w:cs="Times New Roman"/>
          <w:lang w:val="en-US"/>
        </w:rPr>
        <w:t>point</w:t>
      </w:r>
      <w:r w:rsidR="002A7262" w:rsidRPr="002A7262">
        <w:rPr>
          <w:rFonts w:ascii="Times New Roman" w:hAnsi="Times New Roman" w:cs="Times New Roman"/>
          <w:lang w:val="el-GR"/>
        </w:rPr>
        <w:t xml:space="preserve">. </w:t>
      </w:r>
    </w:p>
    <w:p w14:paraId="7E6AD78D" w14:textId="52F8493C" w:rsidR="00F75CE9" w:rsidRDefault="00F75CE9" w:rsidP="00AC0F8A">
      <w:pPr>
        <w:rPr>
          <w:rFonts w:ascii="Times New Roman" w:hAnsi="Times New Roman" w:cs="Times New Roman"/>
          <w:lang w:val="el-GR"/>
        </w:rPr>
      </w:pPr>
    </w:p>
    <w:p w14:paraId="1A1E65DB" w14:textId="1B363AFB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0A818069" w14:textId="2527EBBA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078AFF2A" w14:textId="7A6B9165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0BB5D72A" w14:textId="5A0C2951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1F99F812" w14:textId="70CE96BD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4079C673" w14:textId="1ABEF1F0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2A543498" w14:textId="7B726BBB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6F9BCDD5" w14:textId="4734499B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3BF8A86F" w14:textId="4D627E18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568C3B67" w14:textId="5CCFD2B5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2BD33FFF" w14:textId="624AF619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70CFFC77" w14:textId="761543D5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28D84415" w14:textId="0D2663A4" w:rsidR="00025230" w:rsidRPr="00025230" w:rsidRDefault="00025230" w:rsidP="00025230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025230">
        <w:rPr>
          <w:rFonts w:ascii="Times New Roman" w:hAnsi="Times New Roman" w:cs="Times New Roman"/>
          <w:b/>
          <w:bCs/>
          <w:lang w:val="el-GR"/>
        </w:rPr>
        <w:t>Βιβλιογραφία</w:t>
      </w:r>
    </w:p>
    <w:p w14:paraId="4476FA8C" w14:textId="20424EFF" w:rsidR="00025230" w:rsidRDefault="00025230" w:rsidP="00AC0F8A">
      <w:pPr>
        <w:rPr>
          <w:rFonts w:ascii="Times New Roman" w:hAnsi="Times New Roman" w:cs="Times New Roman"/>
          <w:lang w:val="el-GR"/>
        </w:rPr>
      </w:pPr>
    </w:p>
    <w:p w14:paraId="2ADD4EA6" w14:textId="23530EFE" w:rsidR="00025230" w:rsidRDefault="00025230" w:rsidP="00AC0F8A">
      <w:pPr>
        <w:rPr>
          <w:rFonts w:ascii="Times New Roman" w:hAnsi="Times New Roman" w:cs="Times New Roman"/>
          <w:lang w:val="en-US"/>
        </w:rPr>
      </w:pPr>
      <w:r w:rsidRPr="004F384A">
        <w:rPr>
          <w:rFonts w:ascii="Times New Roman" w:hAnsi="Times New Roman" w:cs="Times New Roman"/>
          <w:u w:val="single"/>
          <w:lang w:val="el-GR"/>
        </w:rPr>
        <w:t>Σύνδεσμοι</w:t>
      </w:r>
      <w:r w:rsidR="004F384A" w:rsidRPr="004F384A">
        <w:rPr>
          <w:rFonts w:ascii="Times New Roman" w:hAnsi="Times New Roman" w:cs="Times New Roman"/>
          <w:lang w:val="en-US"/>
        </w:rPr>
        <w:t>:</w:t>
      </w:r>
    </w:p>
    <w:p w14:paraId="4472FBEB" w14:textId="0A373174" w:rsidR="004F384A" w:rsidRPr="00652A8F" w:rsidRDefault="004F384A" w:rsidP="00AC0F8A">
      <w:pPr>
        <w:rPr>
          <w:rFonts w:ascii="Times New Roman" w:hAnsi="Times New Roman" w:cs="Times New Roman"/>
          <w:lang w:val="en-US"/>
        </w:rPr>
      </w:pPr>
    </w:p>
    <w:p w14:paraId="0270E2C5" w14:textId="5B483DD1" w:rsidR="004F384A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15" w:history="1">
        <w:r w:rsidR="00EF1089" w:rsidRPr="00652A8F">
          <w:rPr>
            <w:rStyle w:val="Hyperlink"/>
            <w:rFonts w:ascii="Times New Roman" w:hAnsi="Times New Roman" w:cs="Times New Roman"/>
          </w:rPr>
          <w:t>https://www.capital.gr/forbes</w:t>
        </w:r>
      </w:hyperlink>
    </w:p>
    <w:p w14:paraId="7D7851D7" w14:textId="22B481C4" w:rsidR="00EF1089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16" w:history="1">
        <w:r w:rsidR="00A76B18" w:rsidRPr="00652A8F">
          <w:rPr>
            <w:rStyle w:val="Hyperlink"/>
            <w:rFonts w:ascii="Times New Roman" w:hAnsi="Times New Roman" w:cs="Times New Roman"/>
          </w:rPr>
          <w:t>https://www.athexgroup.gr/el/financial-statements-in-pdf-format</w:t>
        </w:r>
      </w:hyperlink>
    </w:p>
    <w:p w14:paraId="01E2F501" w14:textId="0AD0947F" w:rsidR="00A76B18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17" w:history="1">
        <w:r w:rsidR="00D711E3" w:rsidRPr="00652A8F">
          <w:rPr>
            <w:rStyle w:val="Hyperlink"/>
            <w:rFonts w:ascii="Times New Roman" w:hAnsi="Times New Roman" w:cs="Times New Roman"/>
          </w:rPr>
          <w:t>https://eclass.aueb.gr/courses/ODE212/</w:t>
        </w:r>
      </w:hyperlink>
    </w:p>
    <w:p w14:paraId="7EDD89F3" w14:textId="1D0592FF" w:rsidR="008D74B7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18" w:history="1">
        <w:r w:rsidR="008D74B7" w:rsidRPr="00652A8F">
          <w:rPr>
            <w:rStyle w:val="Hyperlink"/>
            <w:rFonts w:ascii="Times New Roman" w:hAnsi="Times New Roman" w:cs="Times New Roman"/>
          </w:rPr>
          <w:t>https://www.naftemporiki.gr/</w:t>
        </w:r>
      </w:hyperlink>
    </w:p>
    <w:p w14:paraId="79E50053" w14:textId="5C1F8D1F" w:rsidR="002E4E89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19" w:history="1">
        <w:r w:rsidR="002E4E89" w:rsidRPr="00652A8F">
          <w:rPr>
            <w:rStyle w:val="Hyperlink"/>
            <w:rFonts w:ascii="Times New Roman" w:hAnsi="Times New Roman" w:cs="Times New Roman"/>
          </w:rPr>
          <w:t>https://www.euro2day.gr/</w:t>
        </w:r>
      </w:hyperlink>
    </w:p>
    <w:p w14:paraId="4175C045" w14:textId="715C5ED7" w:rsidR="00CD44AA" w:rsidRPr="00652A8F" w:rsidRDefault="00CF0961" w:rsidP="00EF10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  <w:lang w:val="en-US"/>
        </w:rPr>
      </w:pPr>
      <w:hyperlink r:id="rId20" w:history="1">
        <w:r w:rsidR="00CD44AA" w:rsidRPr="00652A8F">
          <w:rPr>
            <w:rStyle w:val="Hyperlink"/>
            <w:rFonts w:ascii="Times New Roman" w:hAnsi="Times New Roman" w:cs="Times New Roman"/>
          </w:rPr>
          <w:t>http://grinvest.gr/%CF%80%CE%AF%CE%BD%CE%B1%CE%BA%CE%B1%CF%82-%CE%BC%CE%B5%CF%81%CE%B9%CF%83%CE%BC%CE%AC%CF%84%CF%89%CE%BD/</w:t>
        </w:r>
      </w:hyperlink>
    </w:p>
    <w:p w14:paraId="7FAF6559" w14:textId="144416C2" w:rsidR="00652A8F" w:rsidRDefault="00652A8F" w:rsidP="00652A8F">
      <w:pPr>
        <w:rPr>
          <w:rFonts w:ascii="Times New Roman" w:hAnsi="Times New Roman" w:cs="Times New Roman"/>
          <w:u w:val="single"/>
          <w:lang w:val="en-US"/>
        </w:rPr>
      </w:pPr>
    </w:p>
    <w:p w14:paraId="01FDF350" w14:textId="523908DF" w:rsidR="00DE6B8D" w:rsidRPr="00DE6B8D" w:rsidRDefault="00DE6B8D" w:rsidP="00652A8F">
      <w:pPr>
        <w:rPr>
          <w:rFonts w:ascii="Times New Roman" w:hAnsi="Times New Roman" w:cs="Times New Roman"/>
          <w:lang w:val="en-US"/>
        </w:rPr>
      </w:pPr>
    </w:p>
    <w:p w14:paraId="18A9C0EE" w14:textId="435B1672" w:rsidR="00025230" w:rsidRPr="00A76B18" w:rsidRDefault="00025230" w:rsidP="00AC0F8A">
      <w:pPr>
        <w:rPr>
          <w:rFonts w:ascii="Times New Roman" w:hAnsi="Times New Roman" w:cs="Times New Roman"/>
          <w:lang w:val="en-US"/>
        </w:rPr>
      </w:pPr>
    </w:p>
    <w:p w14:paraId="1878DECB" w14:textId="77777777" w:rsidR="00025230" w:rsidRPr="00A76B18" w:rsidRDefault="00025230" w:rsidP="00AC0F8A">
      <w:pPr>
        <w:rPr>
          <w:rFonts w:ascii="Times New Roman" w:hAnsi="Times New Roman" w:cs="Times New Roman"/>
          <w:lang w:val="en-US"/>
        </w:rPr>
      </w:pPr>
    </w:p>
    <w:sectPr w:rsidR="00025230" w:rsidRPr="00A76B18" w:rsidSect="00AC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686E" w14:textId="77777777" w:rsidR="00CF0961" w:rsidRDefault="00CF0961" w:rsidP="00266565">
      <w:pPr>
        <w:spacing w:after="0" w:line="240" w:lineRule="auto"/>
      </w:pPr>
      <w:r>
        <w:separator/>
      </w:r>
    </w:p>
  </w:endnote>
  <w:endnote w:type="continuationSeparator" w:id="0">
    <w:p w14:paraId="019DD93A" w14:textId="77777777" w:rsidR="00CF0961" w:rsidRDefault="00CF0961" w:rsidP="002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8C216" w14:textId="77777777" w:rsidR="003833EF" w:rsidRPr="00732BF2" w:rsidRDefault="003833EF">
    <w:pPr>
      <w:pStyle w:val="Footer"/>
      <w:pBdr>
        <w:top w:val="single" w:sz="4" w:space="8" w:color="132E57" w:themeColor="accent1"/>
      </w:pBdr>
      <w:spacing w:before="360"/>
      <w:contextualSpacing/>
      <w:jc w:val="right"/>
      <w:rPr>
        <w:noProof/>
        <w:color w:val="404040" w:themeColor="text1" w:themeTint="BF"/>
        <w:sz w:val="24"/>
        <w:szCs w:val="24"/>
      </w:rPr>
    </w:pPr>
    <w:r w:rsidRPr="00732BF2">
      <w:rPr>
        <w:noProof/>
        <w:color w:val="404040" w:themeColor="text1" w:themeTint="BF"/>
        <w:sz w:val="24"/>
        <w:szCs w:val="24"/>
      </w:rPr>
      <w:fldChar w:fldCharType="begin"/>
    </w:r>
    <w:r w:rsidRPr="00732BF2">
      <w:rPr>
        <w:noProof/>
        <w:color w:val="404040" w:themeColor="text1" w:themeTint="BF"/>
        <w:sz w:val="24"/>
        <w:szCs w:val="24"/>
      </w:rPr>
      <w:instrText xml:space="preserve"> PAGE   \* MERGEFORMAT </w:instrText>
    </w:r>
    <w:r w:rsidRPr="00732BF2">
      <w:rPr>
        <w:noProof/>
        <w:color w:val="404040" w:themeColor="text1" w:themeTint="BF"/>
        <w:sz w:val="24"/>
        <w:szCs w:val="24"/>
      </w:rPr>
      <w:fldChar w:fldCharType="separate"/>
    </w:r>
    <w:r w:rsidRPr="00732BF2">
      <w:rPr>
        <w:noProof/>
        <w:color w:val="404040" w:themeColor="text1" w:themeTint="BF"/>
        <w:sz w:val="24"/>
        <w:szCs w:val="24"/>
      </w:rPr>
      <w:t>2</w:t>
    </w:r>
    <w:r w:rsidRPr="00732BF2">
      <w:rPr>
        <w:noProof/>
        <w:color w:val="404040" w:themeColor="text1" w:themeTint="BF"/>
        <w:sz w:val="24"/>
        <w:szCs w:val="24"/>
      </w:rPr>
      <w:fldChar w:fldCharType="end"/>
    </w:r>
  </w:p>
  <w:p w14:paraId="5B7A980A" w14:textId="77777777" w:rsidR="00EA089A" w:rsidRDefault="00EA0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E6CCA" w14:textId="77777777" w:rsidR="002A23AC" w:rsidRPr="00732BF2" w:rsidRDefault="002A23AC">
    <w:pPr>
      <w:pStyle w:val="Footer"/>
      <w:pBdr>
        <w:top w:val="single" w:sz="4" w:space="8" w:color="132E57" w:themeColor="accent1"/>
      </w:pBdr>
      <w:spacing w:before="360"/>
      <w:contextualSpacing/>
      <w:jc w:val="right"/>
      <w:rPr>
        <w:noProof/>
        <w:color w:val="404040" w:themeColor="text1" w:themeTint="BF"/>
        <w:sz w:val="24"/>
        <w:szCs w:val="24"/>
      </w:rPr>
    </w:pPr>
    <w:r w:rsidRPr="00732BF2">
      <w:rPr>
        <w:noProof/>
        <w:color w:val="404040" w:themeColor="text1" w:themeTint="BF"/>
        <w:sz w:val="24"/>
        <w:szCs w:val="24"/>
      </w:rPr>
      <w:fldChar w:fldCharType="begin"/>
    </w:r>
    <w:r w:rsidRPr="00732BF2">
      <w:rPr>
        <w:noProof/>
        <w:color w:val="404040" w:themeColor="text1" w:themeTint="BF"/>
        <w:sz w:val="24"/>
        <w:szCs w:val="24"/>
      </w:rPr>
      <w:instrText xml:space="preserve"> PAGE   \* MERGEFORMAT </w:instrText>
    </w:r>
    <w:r w:rsidRPr="00732BF2">
      <w:rPr>
        <w:noProof/>
        <w:color w:val="404040" w:themeColor="text1" w:themeTint="BF"/>
        <w:sz w:val="24"/>
        <w:szCs w:val="24"/>
      </w:rPr>
      <w:fldChar w:fldCharType="separate"/>
    </w:r>
    <w:r w:rsidRPr="00732BF2">
      <w:rPr>
        <w:noProof/>
        <w:color w:val="404040" w:themeColor="text1" w:themeTint="BF"/>
        <w:sz w:val="24"/>
        <w:szCs w:val="24"/>
      </w:rPr>
      <w:t>2</w:t>
    </w:r>
    <w:r w:rsidRPr="00732BF2">
      <w:rPr>
        <w:noProof/>
        <w:color w:val="404040" w:themeColor="text1" w:themeTint="BF"/>
        <w:sz w:val="24"/>
        <w:szCs w:val="24"/>
      </w:rPr>
      <w:fldChar w:fldCharType="end"/>
    </w:r>
  </w:p>
  <w:p w14:paraId="51905288" w14:textId="77777777" w:rsidR="002A23AC" w:rsidRDefault="002A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3CA8" w14:textId="77777777" w:rsidR="00CF0961" w:rsidRDefault="00CF0961" w:rsidP="00266565">
      <w:pPr>
        <w:spacing w:after="0" w:line="240" w:lineRule="auto"/>
      </w:pPr>
      <w:r>
        <w:separator/>
      </w:r>
    </w:p>
  </w:footnote>
  <w:footnote w:type="continuationSeparator" w:id="0">
    <w:p w14:paraId="24203097" w14:textId="77777777" w:rsidR="00CF0961" w:rsidRDefault="00CF0961" w:rsidP="0026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38E1" w14:textId="77777777" w:rsidR="00D22BB3" w:rsidRPr="00EA089A" w:rsidRDefault="00CF0961">
    <w:pPr>
      <w:pStyle w:val="Header"/>
      <w:pBdr>
        <w:bottom w:val="single" w:sz="4" w:space="8" w:color="132E57" w:themeColor="accent1"/>
      </w:pBdr>
      <w:spacing w:after="360"/>
      <w:contextualSpacing/>
      <w:jc w:val="right"/>
      <w:rPr>
        <w:rFonts w:ascii="Times New Roman" w:hAnsi="Times New Roman" w:cs="Times New Roman"/>
        <w:color w:val="404040" w:themeColor="text1" w:themeTint="BF"/>
        <w:sz w:val="18"/>
        <w:szCs w:val="18"/>
      </w:rPr>
    </w:pPr>
    <w:sdt>
      <w:sdtPr>
        <w:rPr>
          <w:rFonts w:ascii="Times New Roman" w:hAnsi="Times New Roman" w:cs="Times New Roman"/>
          <w:color w:val="404040" w:themeColor="text1" w:themeTint="BF"/>
          <w:sz w:val="18"/>
          <w:szCs w:val="18"/>
        </w:rPr>
        <w:alias w:val="Title"/>
        <w:tag w:val=""/>
        <w:id w:val="942040131"/>
        <w:placeholder>
          <w:docPart w:val="43AAC3119E9E468CB9364AFD0CAF99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BF2">
          <w:rPr>
            <w:rFonts w:ascii="Times New Roman" w:hAnsi="Times New Roman" w:cs="Times New Roman"/>
            <w:color w:val="404040" w:themeColor="text1" w:themeTint="BF"/>
            <w:sz w:val="18"/>
            <w:szCs w:val="18"/>
            <w:lang w:val="el-GR"/>
          </w:rPr>
          <w:t>Διαχείριση Επενδύσεων</w:t>
        </w:r>
      </w:sdtContent>
    </w:sdt>
  </w:p>
  <w:p w14:paraId="69F50227" w14:textId="77777777" w:rsidR="00D22BB3" w:rsidRDefault="00D22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6187D"/>
    <w:multiLevelType w:val="hybridMultilevel"/>
    <w:tmpl w:val="6360D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3CE5"/>
    <w:multiLevelType w:val="hybridMultilevel"/>
    <w:tmpl w:val="394433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173E"/>
    <w:multiLevelType w:val="hybridMultilevel"/>
    <w:tmpl w:val="D0C81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ECA"/>
    <w:multiLevelType w:val="hybridMultilevel"/>
    <w:tmpl w:val="15D0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042"/>
    <w:multiLevelType w:val="hybridMultilevel"/>
    <w:tmpl w:val="62EEA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0469"/>
    <w:multiLevelType w:val="hybridMultilevel"/>
    <w:tmpl w:val="26EED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216FB"/>
    <w:multiLevelType w:val="hybridMultilevel"/>
    <w:tmpl w:val="A6582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77B0"/>
    <w:multiLevelType w:val="hybridMultilevel"/>
    <w:tmpl w:val="C30AD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DF"/>
    <w:rsid w:val="00001FF5"/>
    <w:rsid w:val="00005B6A"/>
    <w:rsid w:val="00005B8F"/>
    <w:rsid w:val="00012154"/>
    <w:rsid w:val="00012356"/>
    <w:rsid w:val="00020690"/>
    <w:rsid w:val="000208CC"/>
    <w:rsid w:val="00023B51"/>
    <w:rsid w:val="00025230"/>
    <w:rsid w:val="0003673A"/>
    <w:rsid w:val="00036E0C"/>
    <w:rsid w:val="000371E6"/>
    <w:rsid w:val="00042E0B"/>
    <w:rsid w:val="00043151"/>
    <w:rsid w:val="00047F87"/>
    <w:rsid w:val="000561CC"/>
    <w:rsid w:val="00065A0E"/>
    <w:rsid w:val="000706C5"/>
    <w:rsid w:val="00070804"/>
    <w:rsid w:val="00073432"/>
    <w:rsid w:val="0007742C"/>
    <w:rsid w:val="00081D93"/>
    <w:rsid w:val="0008693B"/>
    <w:rsid w:val="0009106A"/>
    <w:rsid w:val="00091C0A"/>
    <w:rsid w:val="00095673"/>
    <w:rsid w:val="000A0CE7"/>
    <w:rsid w:val="000A20E5"/>
    <w:rsid w:val="000A2CC5"/>
    <w:rsid w:val="000A787D"/>
    <w:rsid w:val="000B0FA0"/>
    <w:rsid w:val="000B1E5F"/>
    <w:rsid w:val="000C328C"/>
    <w:rsid w:val="000C47F1"/>
    <w:rsid w:val="000C6B5B"/>
    <w:rsid w:val="000D72E0"/>
    <w:rsid w:val="000E4B3F"/>
    <w:rsid w:val="000E5092"/>
    <w:rsid w:val="000E7E4F"/>
    <w:rsid w:val="000F03D6"/>
    <w:rsid w:val="000F0C65"/>
    <w:rsid w:val="000F3711"/>
    <w:rsid w:val="000F69FB"/>
    <w:rsid w:val="00112A22"/>
    <w:rsid w:val="00113C07"/>
    <w:rsid w:val="00115642"/>
    <w:rsid w:val="001172F5"/>
    <w:rsid w:val="0012106B"/>
    <w:rsid w:val="00124003"/>
    <w:rsid w:val="0012408E"/>
    <w:rsid w:val="00131033"/>
    <w:rsid w:val="00132094"/>
    <w:rsid w:val="001325D8"/>
    <w:rsid w:val="001339EF"/>
    <w:rsid w:val="00141D2E"/>
    <w:rsid w:val="00147B4B"/>
    <w:rsid w:val="00150410"/>
    <w:rsid w:val="00151A7C"/>
    <w:rsid w:val="00153075"/>
    <w:rsid w:val="0015459B"/>
    <w:rsid w:val="0015517E"/>
    <w:rsid w:val="00157F5F"/>
    <w:rsid w:val="00160DF5"/>
    <w:rsid w:val="00161DA9"/>
    <w:rsid w:val="00162356"/>
    <w:rsid w:val="001623A7"/>
    <w:rsid w:val="00166863"/>
    <w:rsid w:val="0017446B"/>
    <w:rsid w:val="0017528B"/>
    <w:rsid w:val="00180BE1"/>
    <w:rsid w:val="0018159C"/>
    <w:rsid w:val="00183C2B"/>
    <w:rsid w:val="00185329"/>
    <w:rsid w:val="00185D1D"/>
    <w:rsid w:val="0018780C"/>
    <w:rsid w:val="0019450E"/>
    <w:rsid w:val="00197EBC"/>
    <w:rsid w:val="001A02A7"/>
    <w:rsid w:val="001A0358"/>
    <w:rsid w:val="001A3034"/>
    <w:rsid w:val="001A32E1"/>
    <w:rsid w:val="001C14F7"/>
    <w:rsid w:val="001C62A2"/>
    <w:rsid w:val="001C683F"/>
    <w:rsid w:val="001E1C60"/>
    <w:rsid w:val="001E6CF5"/>
    <w:rsid w:val="001F494C"/>
    <w:rsid w:val="001F67F6"/>
    <w:rsid w:val="00202841"/>
    <w:rsid w:val="00203D87"/>
    <w:rsid w:val="00207F53"/>
    <w:rsid w:val="0021048F"/>
    <w:rsid w:val="002138FA"/>
    <w:rsid w:val="00214446"/>
    <w:rsid w:val="00216277"/>
    <w:rsid w:val="00222B54"/>
    <w:rsid w:val="002231E8"/>
    <w:rsid w:val="0022471E"/>
    <w:rsid w:val="00227065"/>
    <w:rsid w:val="0022742A"/>
    <w:rsid w:val="00250110"/>
    <w:rsid w:val="00251785"/>
    <w:rsid w:val="00256358"/>
    <w:rsid w:val="00261509"/>
    <w:rsid w:val="00266565"/>
    <w:rsid w:val="00272E8A"/>
    <w:rsid w:val="0027311A"/>
    <w:rsid w:val="00275AE9"/>
    <w:rsid w:val="00282B68"/>
    <w:rsid w:val="00284426"/>
    <w:rsid w:val="00290C1D"/>
    <w:rsid w:val="00292D7D"/>
    <w:rsid w:val="00296EE5"/>
    <w:rsid w:val="002A23AC"/>
    <w:rsid w:val="002A5468"/>
    <w:rsid w:val="002A7262"/>
    <w:rsid w:val="002A7A50"/>
    <w:rsid w:val="002B0329"/>
    <w:rsid w:val="002C1E47"/>
    <w:rsid w:val="002C53D0"/>
    <w:rsid w:val="002D2CA5"/>
    <w:rsid w:val="002E2190"/>
    <w:rsid w:val="002E4E89"/>
    <w:rsid w:val="002E65D3"/>
    <w:rsid w:val="002F5EE6"/>
    <w:rsid w:val="002F5F3D"/>
    <w:rsid w:val="003035AE"/>
    <w:rsid w:val="00312739"/>
    <w:rsid w:val="00313964"/>
    <w:rsid w:val="00314663"/>
    <w:rsid w:val="00315C21"/>
    <w:rsid w:val="003242D8"/>
    <w:rsid w:val="00333B45"/>
    <w:rsid w:val="00341638"/>
    <w:rsid w:val="00360DCE"/>
    <w:rsid w:val="00360F1D"/>
    <w:rsid w:val="003658CB"/>
    <w:rsid w:val="003662DA"/>
    <w:rsid w:val="003679F9"/>
    <w:rsid w:val="00372DDC"/>
    <w:rsid w:val="00372F40"/>
    <w:rsid w:val="00375068"/>
    <w:rsid w:val="003833EF"/>
    <w:rsid w:val="0038360D"/>
    <w:rsid w:val="003870F0"/>
    <w:rsid w:val="00390353"/>
    <w:rsid w:val="003970CE"/>
    <w:rsid w:val="003974B2"/>
    <w:rsid w:val="003A2E44"/>
    <w:rsid w:val="003A34F9"/>
    <w:rsid w:val="003A6E1D"/>
    <w:rsid w:val="003B700E"/>
    <w:rsid w:val="003B7F8B"/>
    <w:rsid w:val="003C2F15"/>
    <w:rsid w:val="003C58A3"/>
    <w:rsid w:val="003C7CA1"/>
    <w:rsid w:val="003D0FB1"/>
    <w:rsid w:val="003D2684"/>
    <w:rsid w:val="003D7D17"/>
    <w:rsid w:val="003F0A4F"/>
    <w:rsid w:val="003F17F7"/>
    <w:rsid w:val="003F3E37"/>
    <w:rsid w:val="003F7B1A"/>
    <w:rsid w:val="00402995"/>
    <w:rsid w:val="0040301F"/>
    <w:rsid w:val="00403B9D"/>
    <w:rsid w:val="00412E24"/>
    <w:rsid w:val="004136BD"/>
    <w:rsid w:val="00413BB8"/>
    <w:rsid w:val="00414D6E"/>
    <w:rsid w:val="00423A99"/>
    <w:rsid w:val="00425956"/>
    <w:rsid w:val="00434B3D"/>
    <w:rsid w:val="00443296"/>
    <w:rsid w:val="00446058"/>
    <w:rsid w:val="00447CCD"/>
    <w:rsid w:val="00450DE8"/>
    <w:rsid w:val="00460FF9"/>
    <w:rsid w:val="004702EF"/>
    <w:rsid w:val="00476007"/>
    <w:rsid w:val="004769C4"/>
    <w:rsid w:val="00486236"/>
    <w:rsid w:val="004872F6"/>
    <w:rsid w:val="0049210E"/>
    <w:rsid w:val="004A35E0"/>
    <w:rsid w:val="004A5623"/>
    <w:rsid w:val="004A63E4"/>
    <w:rsid w:val="004B1561"/>
    <w:rsid w:val="004B5E51"/>
    <w:rsid w:val="004C4032"/>
    <w:rsid w:val="004E0398"/>
    <w:rsid w:val="004E27FC"/>
    <w:rsid w:val="004E29BA"/>
    <w:rsid w:val="004F0CA7"/>
    <w:rsid w:val="004F384A"/>
    <w:rsid w:val="00502EDB"/>
    <w:rsid w:val="0050617E"/>
    <w:rsid w:val="005074D7"/>
    <w:rsid w:val="005126B6"/>
    <w:rsid w:val="00515EC6"/>
    <w:rsid w:val="0051710A"/>
    <w:rsid w:val="00521BDF"/>
    <w:rsid w:val="005446B4"/>
    <w:rsid w:val="00550A5D"/>
    <w:rsid w:val="00551312"/>
    <w:rsid w:val="005549C0"/>
    <w:rsid w:val="00555119"/>
    <w:rsid w:val="005606B3"/>
    <w:rsid w:val="00561D7F"/>
    <w:rsid w:val="00561E96"/>
    <w:rsid w:val="00563A49"/>
    <w:rsid w:val="00566563"/>
    <w:rsid w:val="0057324B"/>
    <w:rsid w:val="005772E7"/>
    <w:rsid w:val="005850EF"/>
    <w:rsid w:val="00592198"/>
    <w:rsid w:val="00595D68"/>
    <w:rsid w:val="0059668A"/>
    <w:rsid w:val="005979A5"/>
    <w:rsid w:val="005A157B"/>
    <w:rsid w:val="005A243D"/>
    <w:rsid w:val="005A3FE0"/>
    <w:rsid w:val="005B0A4A"/>
    <w:rsid w:val="005B1A6B"/>
    <w:rsid w:val="005B7AE8"/>
    <w:rsid w:val="005C2E21"/>
    <w:rsid w:val="005C313C"/>
    <w:rsid w:val="005C7E50"/>
    <w:rsid w:val="005D01A2"/>
    <w:rsid w:val="005D0C8B"/>
    <w:rsid w:val="005D6564"/>
    <w:rsid w:val="005D7625"/>
    <w:rsid w:val="005E511F"/>
    <w:rsid w:val="005F6606"/>
    <w:rsid w:val="005F741D"/>
    <w:rsid w:val="006009D0"/>
    <w:rsid w:val="00604256"/>
    <w:rsid w:val="006057A6"/>
    <w:rsid w:val="00607AB6"/>
    <w:rsid w:val="0061063F"/>
    <w:rsid w:val="00617008"/>
    <w:rsid w:val="00620B10"/>
    <w:rsid w:val="006305EE"/>
    <w:rsid w:val="006318A9"/>
    <w:rsid w:val="00650FBD"/>
    <w:rsid w:val="0065115C"/>
    <w:rsid w:val="00652A8F"/>
    <w:rsid w:val="006561B4"/>
    <w:rsid w:val="00660B39"/>
    <w:rsid w:val="00661CF7"/>
    <w:rsid w:val="00662B49"/>
    <w:rsid w:val="0066705A"/>
    <w:rsid w:val="00672659"/>
    <w:rsid w:val="00674C27"/>
    <w:rsid w:val="00682FF5"/>
    <w:rsid w:val="0069204E"/>
    <w:rsid w:val="006A112E"/>
    <w:rsid w:val="006A1C83"/>
    <w:rsid w:val="006A723A"/>
    <w:rsid w:val="006A7B3D"/>
    <w:rsid w:val="006B09AE"/>
    <w:rsid w:val="006B1F1A"/>
    <w:rsid w:val="006B50CA"/>
    <w:rsid w:val="006B7EC2"/>
    <w:rsid w:val="006C0866"/>
    <w:rsid w:val="006C2438"/>
    <w:rsid w:val="006C2845"/>
    <w:rsid w:val="006C48C6"/>
    <w:rsid w:val="006C4E5A"/>
    <w:rsid w:val="006C526D"/>
    <w:rsid w:val="006C5AEF"/>
    <w:rsid w:val="006E2F83"/>
    <w:rsid w:val="006F0820"/>
    <w:rsid w:val="006F2E6D"/>
    <w:rsid w:val="006F6F06"/>
    <w:rsid w:val="007014CA"/>
    <w:rsid w:val="00701D25"/>
    <w:rsid w:val="00705B11"/>
    <w:rsid w:val="00710D33"/>
    <w:rsid w:val="0071344E"/>
    <w:rsid w:val="007167F7"/>
    <w:rsid w:val="007245A2"/>
    <w:rsid w:val="00726FE8"/>
    <w:rsid w:val="00730028"/>
    <w:rsid w:val="00732BF2"/>
    <w:rsid w:val="00736B1D"/>
    <w:rsid w:val="00741326"/>
    <w:rsid w:val="007429D8"/>
    <w:rsid w:val="0074350D"/>
    <w:rsid w:val="00744B64"/>
    <w:rsid w:val="007555CE"/>
    <w:rsid w:val="00760EB9"/>
    <w:rsid w:val="007611A6"/>
    <w:rsid w:val="00762D94"/>
    <w:rsid w:val="00774ABF"/>
    <w:rsid w:val="00776664"/>
    <w:rsid w:val="00781CAC"/>
    <w:rsid w:val="00781EFB"/>
    <w:rsid w:val="00784D97"/>
    <w:rsid w:val="007912C6"/>
    <w:rsid w:val="00793930"/>
    <w:rsid w:val="0079428B"/>
    <w:rsid w:val="0079542B"/>
    <w:rsid w:val="00796199"/>
    <w:rsid w:val="007A7FA1"/>
    <w:rsid w:val="007B23CD"/>
    <w:rsid w:val="007B2E69"/>
    <w:rsid w:val="007D2F13"/>
    <w:rsid w:val="007D488C"/>
    <w:rsid w:val="007D7762"/>
    <w:rsid w:val="007E056A"/>
    <w:rsid w:val="007E0776"/>
    <w:rsid w:val="007E5377"/>
    <w:rsid w:val="007F35BF"/>
    <w:rsid w:val="007F40DB"/>
    <w:rsid w:val="007F531D"/>
    <w:rsid w:val="008027F4"/>
    <w:rsid w:val="0080362A"/>
    <w:rsid w:val="00807231"/>
    <w:rsid w:val="008073DE"/>
    <w:rsid w:val="00812EA1"/>
    <w:rsid w:val="00813A12"/>
    <w:rsid w:val="008211BE"/>
    <w:rsid w:val="00831AA2"/>
    <w:rsid w:val="00831B4A"/>
    <w:rsid w:val="0083210D"/>
    <w:rsid w:val="00832B4C"/>
    <w:rsid w:val="008337AA"/>
    <w:rsid w:val="00837C0E"/>
    <w:rsid w:val="00845011"/>
    <w:rsid w:val="00850F4C"/>
    <w:rsid w:val="008539A2"/>
    <w:rsid w:val="0085499C"/>
    <w:rsid w:val="0086063C"/>
    <w:rsid w:val="008665BA"/>
    <w:rsid w:val="008678A4"/>
    <w:rsid w:val="0087059E"/>
    <w:rsid w:val="00874B26"/>
    <w:rsid w:val="00883257"/>
    <w:rsid w:val="00887E7D"/>
    <w:rsid w:val="008A5E9E"/>
    <w:rsid w:val="008B1DF1"/>
    <w:rsid w:val="008C17C5"/>
    <w:rsid w:val="008C4DB1"/>
    <w:rsid w:val="008D1B14"/>
    <w:rsid w:val="008D74B7"/>
    <w:rsid w:val="008E0C92"/>
    <w:rsid w:val="008E3610"/>
    <w:rsid w:val="008F1601"/>
    <w:rsid w:val="008F39EB"/>
    <w:rsid w:val="008F57CD"/>
    <w:rsid w:val="009023D6"/>
    <w:rsid w:val="009028BF"/>
    <w:rsid w:val="0091109E"/>
    <w:rsid w:val="00917CCA"/>
    <w:rsid w:val="00921656"/>
    <w:rsid w:val="009256DA"/>
    <w:rsid w:val="009270D9"/>
    <w:rsid w:val="009321AE"/>
    <w:rsid w:val="009322CF"/>
    <w:rsid w:val="0093438D"/>
    <w:rsid w:val="0093496B"/>
    <w:rsid w:val="0093515C"/>
    <w:rsid w:val="0093687F"/>
    <w:rsid w:val="009472E5"/>
    <w:rsid w:val="009506A4"/>
    <w:rsid w:val="00954270"/>
    <w:rsid w:val="00956E97"/>
    <w:rsid w:val="00960BE7"/>
    <w:rsid w:val="0096136A"/>
    <w:rsid w:val="009703ED"/>
    <w:rsid w:val="00971AB6"/>
    <w:rsid w:val="00971DB3"/>
    <w:rsid w:val="0097620C"/>
    <w:rsid w:val="0098088E"/>
    <w:rsid w:val="009828D7"/>
    <w:rsid w:val="009926EF"/>
    <w:rsid w:val="00997F0A"/>
    <w:rsid w:val="009A020C"/>
    <w:rsid w:val="009B3B5A"/>
    <w:rsid w:val="009C414E"/>
    <w:rsid w:val="009C432A"/>
    <w:rsid w:val="009D1F5F"/>
    <w:rsid w:val="009D57B4"/>
    <w:rsid w:val="009E263A"/>
    <w:rsid w:val="009E437D"/>
    <w:rsid w:val="009E4568"/>
    <w:rsid w:val="009E6D1C"/>
    <w:rsid w:val="00A01B1D"/>
    <w:rsid w:val="00A05D8B"/>
    <w:rsid w:val="00A071E9"/>
    <w:rsid w:val="00A07522"/>
    <w:rsid w:val="00A122E7"/>
    <w:rsid w:val="00A158A1"/>
    <w:rsid w:val="00A1769A"/>
    <w:rsid w:val="00A17A5F"/>
    <w:rsid w:val="00A250D6"/>
    <w:rsid w:val="00A30F87"/>
    <w:rsid w:val="00A31533"/>
    <w:rsid w:val="00A33254"/>
    <w:rsid w:val="00A35BD3"/>
    <w:rsid w:val="00A423D7"/>
    <w:rsid w:val="00A438BA"/>
    <w:rsid w:val="00A47485"/>
    <w:rsid w:val="00A53471"/>
    <w:rsid w:val="00A546D6"/>
    <w:rsid w:val="00A624CC"/>
    <w:rsid w:val="00A70A23"/>
    <w:rsid w:val="00A76B18"/>
    <w:rsid w:val="00A77976"/>
    <w:rsid w:val="00A90734"/>
    <w:rsid w:val="00A92605"/>
    <w:rsid w:val="00AA18E8"/>
    <w:rsid w:val="00AB5E92"/>
    <w:rsid w:val="00AC0F8A"/>
    <w:rsid w:val="00AE01ED"/>
    <w:rsid w:val="00AE33A0"/>
    <w:rsid w:val="00AE3D45"/>
    <w:rsid w:val="00AE6716"/>
    <w:rsid w:val="00AE6F29"/>
    <w:rsid w:val="00B00AC7"/>
    <w:rsid w:val="00B04E4B"/>
    <w:rsid w:val="00B06483"/>
    <w:rsid w:val="00B07403"/>
    <w:rsid w:val="00B10821"/>
    <w:rsid w:val="00B10FC4"/>
    <w:rsid w:val="00B16FA5"/>
    <w:rsid w:val="00B20D60"/>
    <w:rsid w:val="00B2568D"/>
    <w:rsid w:val="00B25B5E"/>
    <w:rsid w:val="00B34A9F"/>
    <w:rsid w:val="00B36574"/>
    <w:rsid w:val="00B40073"/>
    <w:rsid w:val="00B523E0"/>
    <w:rsid w:val="00B52713"/>
    <w:rsid w:val="00B57DAE"/>
    <w:rsid w:val="00B62AEC"/>
    <w:rsid w:val="00B756F8"/>
    <w:rsid w:val="00B86059"/>
    <w:rsid w:val="00B957AE"/>
    <w:rsid w:val="00B95D93"/>
    <w:rsid w:val="00BA0AD8"/>
    <w:rsid w:val="00BA3E3D"/>
    <w:rsid w:val="00BB188B"/>
    <w:rsid w:val="00BB40B1"/>
    <w:rsid w:val="00BB66B7"/>
    <w:rsid w:val="00BD0F93"/>
    <w:rsid w:val="00BD6DBB"/>
    <w:rsid w:val="00BE20A2"/>
    <w:rsid w:val="00BE6674"/>
    <w:rsid w:val="00BE6AC5"/>
    <w:rsid w:val="00BF3E2B"/>
    <w:rsid w:val="00BF5D3B"/>
    <w:rsid w:val="00BF760B"/>
    <w:rsid w:val="00C020E4"/>
    <w:rsid w:val="00C05978"/>
    <w:rsid w:val="00C07C13"/>
    <w:rsid w:val="00C07ED4"/>
    <w:rsid w:val="00C2052C"/>
    <w:rsid w:val="00C2524D"/>
    <w:rsid w:val="00C3321C"/>
    <w:rsid w:val="00C478DE"/>
    <w:rsid w:val="00C535AF"/>
    <w:rsid w:val="00C579A9"/>
    <w:rsid w:val="00C57B16"/>
    <w:rsid w:val="00C60C73"/>
    <w:rsid w:val="00C6497C"/>
    <w:rsid w:val="00C74536"/>
    <w:rsid w:val="00C8060E"/>
    <w:rsid w:val="00C86D29"/>
    <w:rsid w:val="00C87007"/>
    <w:rsid w:val="00C90D59"/>
    <w:rsid w:val="00C95C2F"/>
    <w:rsid w:val="00C95C4D"/>
    <w:rsid w:val="00CA78FF"/>
    <w:rsid w:val="00CA7C8E"/>
    <w:rsid w:val="00CB027D"/>
    <w:rsid w:val="00CB2558"/>
    <w:rsid w:val="00CB42D6"/>
    <w:rsid w:val="00CB4AA2"/>
    <w:rsid w:val="00CC3056"/>
    <w:rsid w:val="00CD44AA"/>
    <w:rsid w:val="00CD5FC8"/>
    <w:rsid w:val="00CF0961"/>
    <w:rsid w:val="00CF156A"/>
    <w:rsid w:val="00CF2042"/>
    <w:rsid w:val="00CF6FA0"/>
    <w:rsid w:val="00CF76AA"/>
    <w:rsid w:val="00D02199"/>
    <w:rsid w:val="00D02BB1"/>
    <w:rsid w:val="00D0702D"/>
    <w:rsid w:val="00D13554"/>
    <w:rsid w:val="00D15B34"/>
    <w:rsid w:val="00D22BB3"/>
    <w:rsid w:val="00D27840"/>
    <w:rsid w:val="00D3019C"/>
    <w:rsid w:val="00D32384"/>
    <w:rsid w:val="00D33ED5"/>
    <w:rsid w:val="00D3440A"/>
    <w:rsid w:val="00D44F5D"/>
    <w:rsid w:val="00D47680"/>
    <w:rsid w:val="00D50172"/>
    <w:rsid w:val="00D515B9"/>
    <w:rsid w:val="00D53CB1"/>
    <w:rsid w:val="00D63D8B"/>
    <w:rsid w:val="00D65A04"/>
    <w:rsid w:val="00D66E49"/>
    <w:rsid w:val="00D711E3"/>
    <w:rsid w:val="00D7229A"/>
    <w:rsid w:val="00D72FB4"/>
    <w:rsid w:val="00D74246"/>
    <w:rsid w:val="00D744FD"/>
    <w:rsid w:val="00D8508A"/>
    <w:rsid w:val="00D85230"/>
    <w:rsid w:val="00D85271"/>
    <w:rsid w:val="00D87F71"/>
    <w:rsid w:val="00D953F8"/>
    <w:rsid w:val="00D9560E"/>
    <w:rsid w:val="00DA3CA4"/>
    <w:rsid w:val="00DA4FE6"/>
    <w:rsid w:val="00DA5D91"/>
    <w:rsid w:val="00DB33E4"/>
    <w:rsid w:val="00DB4687"/>
    <w:rsid w:val="00DB546D"/>
    <w:rsid w:val="00DB7684"/>
    <w:rsid w:val="00DC07F0"/>
    <w:rsid w:val="00DC4ECE"/>
    <w:rsid w:val="00DD227F"/>
    <w:rsid w:val="00DD5220"/>
    <w:rsid w:val="00DD7FFB"/>
    <w:rsid w:val="00DE1A5F"/>
    <w:rsid w:val="00DE1FB1"/>
    <w:rsid w:val="00DE624A"/>
    <w:rsid w:val="00DE6B8D"/>
    <w:rsid w:val="00DF56CD"/>
    <w:rsid w:val="00DF68B4"/>
    <w:rsid w:val="00E00FAF"/>
    <w:rsid w:val="00E01649"/>
    <w:rsid w:val="00E0263B"/>
    <w:rsid w:val="00E03C4F"/>
    <w:rsid w:val="00E04A94"/>
    <w:rsid w:val="00E10F0B"/>
    <w:rsid w:val="00E30802"/>
    <w:rsid w:val="00E32AB3"/>
    <w:rsid w:val="00E35084"/>
    <w:rsid w:val="00E36B21"/>
    <w:rsid w:val="00E403EB"/>
    <w:rsid w:val="00E41085"/>
    <w:rsid w:val="00E44409"/>
    <w:rsid w:val="00E5013E"/>
    <w:rsid w:val="00E50FAA"/>
    <w:rsid w:val="00E562C3"/>
    <w:rsid w:val="00E77F51"/>
    <w:rsid w:val="00E82F35"/>
    <w:rsid w:val="00E90416"/>
    <w:rsid w:val="00E91146"/>
    <w:rsid w:val="00E94AB5"/>
    <w:rsid w:val="00EA03EF"/>
    <w:rsid w:val="00EA089A"/>
    <w:rsid w:val="00EA0984"/>
    <w:rsid w:val="00EA4657"/>
    <w:rsid w:val="00EA53A1"/>
    <w:rsid w:val="00EB08BB"/>
    <w:rsid w:val="00EB5348"/>
    <w:rsid w:val="00EB6AB6"/>
    <w:rsid w:val="00EC1C10"/>
    <w:rsid w:val="00EC3366"/>
    <w:rsid w:val="00EC3659"/>
    <w:rsid w:val="00EC4240"/>
    <w:rsid w:val="00ED030B"/>
    <w:rsid w:val="00ED3C19"/>
    <w:rsid w:val="00ED48B5"/>
    <w:rsid w:val="00EE22D0"/>
    <w:rsid w:val="00EE3431"/>
    <w:rsid w:val="00EE61DF"/>
    <w:rsid w:val="00EF1089"/>
    <w:rsid w:val="00EF369D"/>
    <w:rsid w:val="00EF6B3D"/>
    <w:rsid w:val="00EF7C42"/>
    <w:rsid w:val="00F0082A"/>
    <w:rsid w:val="00F04CBC"/>
    <w:rsid w:val="00F1137B"/>
    <w:rsid w:val="00F12803"/>
    <w:rsid w:val="00F1769D"/>
    <w:rsid w:val="00F2449A"/>
    <w:rsid w:val="00F26F1E"/>
    <w:rsid w:val="00F275F0"/>
    <w:rsid w:val="00F305F1"/>
    <w:rsid w:val="00F3113E"/>
    <w:rsid w:val="00F416E4"/>
    <w:rsid w:val="00F422CC"/>
    <w:rsid w:val="00F43B60"/>
    <w:rsid w:val="00F524E9"/>
    <w:rsid w:val="00F610A8"/>
    <w:rsid w:val="00F64E3F"/>
    <w:rsid w:val="00F65029"/>
    <w:rsid w:val="00F70A2D"/>
    <w:rsid w:val="00F75CE9"/>
    <w:rsid w:val="00F76401"/>
    <w:rsid w:val="00F86002"/>
    <w:rsid w:val="00F90501"/>
    <w:rsid w:val="00F93981"/>
    <w:rsid w:val="00F971C8"/>
    <w:rsid w:val="00FA00D8"/>
    <w:rsid w:val="00FA0BB1"/>
    <w:rsid w:val="00FA1859"/>
    <w:rsid w:val="00FA6D55"/>
    <w:rsid w:val="00FB0110"/>
    <w:rsid w:val="00FB14B1"/>
    <w:rsid w:val="00FB3A44"/>
    <w:rsid w:val="00FB4DB8"/>
    <w:rsid w:val="00FB7EF3"/>
    <w:rsid w:val="00FC2A90"/>
    <w:rsid w:val="00FD030D"/>
    <w:rsid w:val="00FD2960"/>
    <w:rsid w:val="00FD2CE3"/>
    <w:rsid w:val="00FE174B"/>
    <w:rsid w:val="00FE3556"/>
    <w:rsid w:val="00FE4C63"/>
    <w:rsid w:val="00FF2402"/>
    <w:rsid w:val="00FF322B"/>
    <w:rsid w:val="00FF422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3D1C39"/>
  <w15:chartTrackingRefBased/>
  <w15:docId w15:val="{D18E8C46-9589-4B5C-BC72-1D2752B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17F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7F7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03EF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A03E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EF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A03EF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65"/>
  </w:style>
  <w:style w:type="paragraph" w:styleId="Footer">
    <w:name w:val="footer"/>
    <w:basedOn w:val="Normal"/>
    <w:link w:val="FooterChar"/>
    <w:uiPriority w:val="99"/>
    <w:unhideWhenUsed/>
    <w:qFormat/>
    <w:rsid w:val="0026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65"/>
  </w:style>
  <w:style w:type="character" w:styleId="Hyperlink">
    <w:name w:val="Hyperlink"/>
    <w:basedOn w:val="DefaultParagraphFont"/>
    <w:uiPriority w:val="99"/>
    <w:unhideWhenUsed/>
    <w:rsid w:val="007E0776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0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A5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6ColourfulAccent1">
    <w:name w:val="List Table 6 Colorful Accent 1"/>
    <w:basedOn w:val="TableNormal"/>
    <w:uiPriority w:val="51"/>
    <w:rsid w:val="00AE01ED"/>
    <w:pPr>
      <w:spacing w:after="0" w:line="240" w:lineRule="auto"/>
    </w:pPr>
    <w:rPr>
      <w:color w:val="0E2241" w:themeColor="accent1" w:themeShade="BF"/>
    </w:rPr>
    <w:tblPr>
      <w:tblStyleRowBandSize w:val="1"/>
      <w:tblStyleColBandSize w:val="1"/>
      <w:tblBorders>
        <w:top w:val="single" w:sz="4" w:space="0" w:color="132E57" w:themeColor="accent1"/>
        <w:bottom w:val="single" w:sz="4" w:space="0" w:color="132E5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32E5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32E5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1F0" w:themeFill="accent1" w:themeFillTint="33"/>
      </w:tcPr>
    </w:tblStylePr>
    <w:tblStylePr w:type="band1Horz">
      <w:tblPr/>
      <w:tcPr>
        <w:shd w:val="clear" w:color="auto" w:fill="BCD1F0" w:themeFill="accent1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E056A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5982DB" w:themeColor="accent6"/>
        <w:bottom w:val="single" w:sz="4" w:space="0" w:color="5982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982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CA7C8E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563A49"/>
    <w:pPr>
      <w:spacing w:after="0" w:line="240" w:lineRule="auto"/>
    </w:pPr>
    <w:tblPr>
      <w:tblStyleRowBandSize w:val="1"/>
      <w:tblStyleColBandSize w:val="1"/>
      <w:tblBorders>
        <w:top w:val="single" w:sz="4" w:space="0" w:color="3775D3" w:themeColor="accent1" w:themeTint="99"/>
        <w:bottom w:val="single" w:sz="4" w:space="0" w:color="3775D3" w:themeColor="accent1" w:themeTint="99"/>
        <w:insideH w:val="single" w:sz="4" w:space="0" w:color="3775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1F0" w:themeFill="accent1" w:themeFillTint="33"/>
      </w:tcPr>
    </w:tblStylePr>
    <w:tblStylePr w:type="band1Horz">
      <w:tblPr/>
      <w:tcPr>
        <w:shd w:val="clear" w:color="auto" w:fill="BCD1F0" w:themeFill="accent1" w:themeFillTint="33"/>
      </w:tcPr>
    </w:tblStylePr>
  </w:style>
  <w:style w:type="table" w:styleId="ListTable1Light-Accent6">
    <w:name w:val="List Table 1 Light Accent 6"/>
    <w:basedOn w:val="TableNormal"/>
    <w:uiPriority w:val="46"/>
    <w:rsid w:val="00917C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711E3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naftemporiki.gr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eclass.aueb.gr/courses/ODE21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exgroup.gr/el/financial-statements-in-pdf-format" TargetMode="External"/><Relationship Id="rId20" Type="http://schemas.openxmlformats.org/officeDocument/2006/relationships/hyperlink" Target="http://grinvest.gr/%CF%80%CE%AF%CE%BD%CE%B1%CE%BA%CE%B1%CF%82-%CE%BC%CE%B5%CF%81%CE%B9%CF%83%CE%BC%CE%AC%CF%84%CF%89%CE%B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s://www.capital.gr/forbes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euro2day.gr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665190eb8b9ad0c/Documents/&#916;&#921;&#913;&#935;&#917;&#921;&#929;&#921;&#931;&#919;%20&#917;&#928;&#917;&#925;&#916;&#933;&#931;&#917;&#937;&#925;%20-%20&#915;&#922;&#921;&#922;&#927;&#928;&#927;&#933;&#923;&#927;&#931;%20&#928;&#917;&#932;&#929;&#927;&#93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665190eb8b9ad0c/Documents/&#916;&#921;&#913;&#935;&#917;&#921;&#929;&#921;&#931;&#919;%20&#917;&#928;&#917;&#925;&#916;&#933;&#931;&#917;&#937;&#925;%20-%20&#915;&#922;&#921;&#922;&#927;&#928;&#927;&#933;&#923;&#927;&#931;%20&#928;&#917;&#932;&#929;&#927;&#93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665190eb8b9ad0c/Documents/&#916;&#921;&#913;&#935;&#917;&#921;&#929;&#921;&#931;&#919;%20&#917;&#928;&#917;&#925;&#916;&#933;&#931;&#917;&#937;&#925;%20-%20&#915;&#922;&#921;&#922;&#927;&#928;&#927;&#933;&#923;&#927;&#931;%20&#928;&#917;&#932;&#929;&#927;&#93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>
                <a:latin typeface="Calibri" panose="020F0502020204030204" pitchFamily="34" charset="0"/>
              </a:rPr>
              <a:t>Αποδόσεις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'[ΔΙΑΧΕΙΡΙΣΗ ΕΠΕΝΔΥΣΕΩΝ - ΓΚΙΚΟΠΟΥΛΟΣ ΠΕΤΡΟΣ.xlsx]ΑΠΟΤΕΛΕΣΜΑΤΑ'!$E$4</c:f>
              <c:strCache>
                <c:ptCount val="1"/>
                <c:pt idx="0">
                  <c:v>Τελική Απόδοση Γ.Δ.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'[ΔΙΑΧΕΙΡΙΣΗ ΕΠΕΝΔΥΣΕΩΝ - ΓΚΙΚΟΠΟΥΛΟΣ ΠΕΤΡΟΣ.xlsx]ΑΠΟΤΕΛΕΣΜΑΤΑ'!$E$5:$E$30</c:f>
              <c:numCache>
                <c:formatCode>0.000%</c:formatCode>
                <c:ptCount val="26"/>
                <c:pt idx="0">
                  <c:v>3.4418589331884276E-2</c:v>
                </c:pt>
                <c:pt idx="1">
                  <c:v>1.5941253958139737E-3</c:v>
                </c:pt>
                <c:pt idx="2">
                  <c:v>2.4448667105789624E-4</c:v>
                </c:pt>
                <c:pt idx="3">
                  <c:v>-2.5680523629724995E-2</c:v>
                </c:pt>
                <c:pt idx="4">
                  <c:v>-1.8252687008290885E-2</c:v>
                </c:pt>
                <c:pt idx="5">
                  <c:v>7.0576033798451059E-3</c:v>
                </c:pt>
                <c:pt idx="6">
                  <c:v>3.9071830580492475E-4</c:v>
                </c:pt>
                <c:pt idx="7">
                  <c:v>3.2959442436343675E-2</c:v>
                </c:pt>
                <c:pt idx="8">
                  <c:v>4.7013358368373934E-2</c:v>
                </c:pt>
                <c:pt idx="9">
                  <c:v>5.8006176813630357E-2</c:v>
                </c:pt>
                <c:pt idx="10">
                  <c:v>3.6680196192388409E-2</c:v>
                </c:pt>
                <c:pt idx="11">
                  <c:v>-4.529513318156736E-3</c:v>
                </c:pt>
                <c:pt idx="12">
                  <c:v>8.8013851478768203E-3</c:v>
                </c:pt>
                <c:pt idx="13">
                  <c:v>-7.1228600068603612E-3</c:v>
                </c:pt>
                <c:pt idx="14">
                  <c:v>-4.1262062701995185E-3</c:v>
                </c:pt>
                <c:pt idx="15">
                  <c:v>-1.5036690484292606E-3</c:v>
                </c:pt>
                <c:pt idx="16">
                  <c:v>-1.4267513101073784E-2</c:v>
                </c:pt>
                <c:pt idx="17">
                  <c:v>-1.3747675424580599E-2</c:v>
                </c:pt>
                <c:pt idx="18">
                  <c:v>-2.3485377595032199E-2</c:v>
                </c:pt>
                <c:pt idx="19">
                  <c:v>-2.8088992786962377E-2</c:v>
                </c:pt>
                <c:pt idx="20">
                  <c:v>-1.9349279803217587E-2</c:v>
                </c:pt>
                <c:pt idx="21">
                  <c:v>8.0586020698228851E-3</c:v>
                </c:pt>
                <c:pt idx="22">
                  <c:v>-5.6571086533691584E-3</c:v>
                </c:pt>
                <c:pt idx="23">
                  <c:v>9.9127895434503472E-3</c:v>
                </c:pt>
                <c:pt idx="24">
                  <c:v>6.342062949727046E-3</c:v>
                </c:pt>
                <c:pt idx="25">
                  <c:v>7.7557460874461068E-3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3C-4FC2-B944-4839BFFF9316}"/>
            </c:ext>
          </c:extLst>
        </c:ser>
        <c:ser>
          <c:idx val="1"/>
          <c:order val="1"/>
          <c:tx>
            <c:strRef>
              <c:f>'[ΔΙΑΧΕΙΡΙΣΗ ΕΠΕΝΔΥΣΕΩΝ - ΓΚΙΚΟΠΟΥΛΟΣ ΠΕΤΡΟΣ.xlsx]ΑΠΟΤΕΛΕΣΜΑΤΑ'!$F$4</c:f>
              <c:strCache>
                <c:ptCount val="1"/>
                <c:pt idx="0">
                  <c:v>Τελική Απόδοση Χαρτοφυλακίου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'[ΔΙΑΧΕΙΡΙΣΗ ΕΠΕΝΔΥΣΕΩΝ - ΓΚΙΚΟΠΟΥΛΟΣ ΠΕΤΡΟΣ.xlsx]ΑΠΟΤΕΛΕΣΜΑΤΑ'!$F$5:$F$30</c:f>
              <c:numCache>
                <c:formatCode>0.000%</c:formatCode>
                <c:ptCount val="26"/>
                <c:pt idx="0">
                  <c:v>2.3621712047863983E-2</c:v>
                </c:pt>
                <c:pt idx="1">
                  <c:v>6.5602588755306265E-3</c:v>
                </c:pt>
                <c:pt idx="2">
                  <c:v>9.4391919585489134E-3</c:v>
                </c:pt>
                <c:pt idx="3">
                  <c:v>3.7756249819899208E-3</c:v>
                </c:pt>
                <c:pt idx="4">
                  <c:v>1.110272519040956E-2</c:v>
                </c:pt>
                <c:pt idx="5">
                  <c:v>1.7977254888377901E-2</c:v>
                </c:pt>
                <c:pt idx="6">
                  <c:v>1.2864697312503288E-2</c:v>
                </c:pt>
                <c:pt idx="7">
                  <c:v>3.2299123820620265E-2</c:v>
                </c:pt>
                <c:pt idx="8">
                  <c:v>3.3309055670181567E-2</c:v>
                </c:pt>
                <c:pt idx="9">
                  <c:v>3.8485062082436648E-2</c:v>
                </c:pt>
                <c:pt idx="10">
                  <c:v>2.8210595591453204E-2</c:v>
                </c:pt>
                <c:pt idx="11">
                  <c:v>1.043539337857833E-2</c:v>
                </c:pt>
                <c:pt idx="12">
                  <c:v>1.7632348406428126E-2</c:v>
                </c:pt>
                <c:pt idx="13">
                  <c:v>1.1118718654037848E-2</c:v>
                </c:pt>
                <c:pt idx="14">
                  <c:v>1.172281283147804E-2</c:v>
                </c:pt>
                <c:pt idx="15">
                  <c:v>1.5576759193107432E-2</c:v>
                </c:pt>
                <c:pt idx="16">
                  <c:v>2.1222386837148593E-3</c:v>
                </c:pt>
                <c:pt idx="17">
                  <c:v>7.9077464634248161E-3</c:v>
                </c:pt>
                <c:pt idx="18">
                  <c:v>1.7307779886674327E-2</c:v>
                </c:pt>
                <c:pt idx="19">
                  <c:v>1.397810812771522E-2</c:v>
                </c:pt>
                <c:pt idx="20">
                  <c:v>1.7167304877939913E-2</c:v>
                </c:pt>
                <c:pt idx="21">
                  <c:v>2.7292658590110763E-2</c:v>
                </c:pt>
                <c:pt idx="22">
                  <c:v>2.2087887130708469E-2</c:v>
                </c:pt>
                <c:pt idx="23">
                  <c:v>3.3685335914733945E-2</c:v>
                </c:pt>
                <c:pt idx="24">
                  <c:v>3.1812487815015389E-2</c:v>
                </c:pt>
                <c:pt idx="25">
                  <c:v>4.0699721030181504E-2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3C-4FC2-B944-4839BFFF9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9561536"/>
        <c:axId val="662231600"/>
      </c:lineChart>
      <c:catAx>
        <c:axId val="65956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GR"/>
          </a:p>
        </c:txPr>
        <c:crossAx val="662231600"/>
        <c:crosses val="autoZero"/>
        <c:auto val="1"/>
        <c:lblAlgn val="ctr"/>
        <c:lblOffset val="100"/>
        <c:noMultiLvlLbl val="0"/>
      </c:catAx>
      <c:valAx>
        <c:axId val="66223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GR"/>
          </a:p>
        </c:txPr>
        <c:crossAx val="65956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>
                <a:latin typeface="Calibri" panose="020F0502020204030204" pitchFamily="34" charset="0"/>
              </a:rPr>
              <a:t>Ημερήσιες</a:t>
            </a:r>
            <a:r>
              <a:rPr lang="el-GR" sz="1400" baseline="0">
                <a:latin typeface="Calibri" panose="020F0502020204030204" pitchFamily="34" charset="0"/>
              </a:rPr>
              <a:t> Διακυμάνσεις</a:t>
            </a:r>
            <a:endParaRPr lang="el-GR" sz="1400">
              <a:latin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'[ΔΙΑΧΕΙΡΙΣΗ ΕΠΕΝΔΥΣΕΩΝ - ΓΚΙΚΟΠΟΥΛΟΣ ΠΕΤΡΟΣ.xlsx]ΑΠΟΤΕΛΕΣΜΑΤΑ'!$C$4</c:f>
              <c:strCache>
                <c:ptCount val="1"/>
                <c:pt idx="0">
                  <c:v>Γενικός Δείκτης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'[ΔΙΑΧΕΙΡΙΣΗ ΕΠΕΝΔΥΣΕΩΝ - ΓΚΙΚΟΠΟΥΛΟΣ ΠΕΤΡΟΣ.xlsx]ΑΠΟΤΕΛΕΣΜΑΤΑ'!$C$5:$C$30</c:f>
              <c:numCache>
                <c:formatCode>0.000%</c:formatCode>
                <c:ptCount val="26"/>
                <c:pt idx="0">
                  <c:v>3.4418589331884276E-2</c:v>
                </c:pt>
                <c:pt idx="1">
                  <c:v>-3.2824463936070303E-2</c:v>
                </c:pt>
                <c:pt idx="2">
                  <c:v>-1.3496387247560774E-3</c:v>
                </c:pt>
                <c:pt idx="3">
                  <c:v>-2.592501030078289E-2</c:v>
                </c:pt>
                <c:pt idx="4">
                  <c:v>7.4278366214341083E-3</c:v>
                </c:pt>
                <c:pt idx="5">
                  <c:v>2.5310290388135991E-2</c:v>
                </c:pt>
                <c:pt idx="6">
                  <c:v>-6.6668850740401811E-3</c:v>
                </c:pt>
                <c:pt idx="7">
                  <c:v>3.2568724130538747E-2</c:v>
                </c:pt>
                <c:pt idx="8">
                  <c:v>1.4053915932030262E-2</c:v>
                </c:pt>
                <c:pt idx="9">
                  <c:v>1.0992818445256422E-2</c:v>
                </c:pt>
                <c:pt idx="10">
                  <c:v>-2.1325980621241945E-2</c:v>
                </c:pt>
                <c:pt idx="11">
                  <c:v>-4.1209709510545145E-2</c:v>
                </c:pt>
                <c:pt idx="12">
                  <c:v>1.3330898466033556E-2</c:v>
                </c:pt>
                <c:pt idx="13">
                  <c:v>-1.5924245154737181E-2</c:v>
                </c:pt>
                <c:pt idx="14">
                  <c:v>2.9966537366608427E-3</c:v>
                </c:pt>
                <c:pt idx="15">
                  <c:v>2.6225372217702578E-3</c:v>
                </c:pt>
                <c:pt idx="16">
                  <c:v>-1.2763844052644522E-2</c:v>
                </c:pt>
                <c:pt idx="17">
                  <c:v>5.1983767649318416E-4</c:v>
                </c:pt>
                <c:pt idx="18">
                  <c:v>-9.7377021704515981E-3</c:v>
                </c:pt>
                <c:pt idx="19">
                  <c:v>-4.6036151919301794E-3</c:v>
                </c:pt>
                <c:pt idx="20">
                  <c:v>8.7397129837447907E-3</c:v>
                </c:pt>
                <c:pt idx="21">
                  <c:v>2.7407881873040472E-2</c:v>
                </c:pt>
                <c:pt idx="22">
                  <c:v>-1.3715710723192043E-2</c:v>
                </c:pt>
                <c:pt idx="23">
                  <c:v>1.5569898196819506E-2</c:v>
                </c:pt>
                <c:pt idx="24">
                  <c:v>-3.5707265937233016E-3</c:v>
                </c:pt>
                <c:pt idx="25">
                  <c:v>1.413683137719061E-3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B6-4935-916F-C893D8E511E8}"/>
            </c:ext>
          </c:extLst>
        </c:ser>
        <c:ser>
          <c:idx val="1"/>
          <c:order val="1"/>
          <c:tx>
            <c:strRef>
              <c:f>'[ΔΙΑΧΕΙΡΙΣΗ ΕΠΕΝΔΥΣΕΩΝ - ΓΚΙΚΟΠΟΥΛΟΣ ΠΕΤΡΟΣ.xlsx]ΑΠΟΤΕΛΕΣΜΑΤΑ'!$D$4</c:f>
              <c:strCache>
                <c:ptCount val="1"/>
                <c:pt idx="0">
                  <c:v>Χαρτοφυλάκιο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'[ΔΙΑΧΕΙΡΙΣΗ ΕΠΕΝΔΥΣΕΩΝ - ΓΚΙΚΟΠΟΥΛΟΣ ΠΕΤΡΟΣ.xlsx]ΑΠΟΤΕΛΕΣΜΑΤΑ'!$D$5:$D$30</c:f>
              <c:numCache>
                <c:formatCode>0.000%</c:formatCode>
                <c:ptCount val="26"/>
                <c:pt idx="0">
                  <c:v>2.3621712047863983E-2</c:v>
                </c:pt>
                <c:pt idx="1">
                  <c:v>-1.7061453172333357E-2</c:v>
                </c:pt>
                <c:pt idx="2">
                  <c:v>2.8789330830182869E-3</c:v>
                </c:pt>
                <c:pt idx="3">
                  <c:v>-5.6635669765589926E-3</c:v>
                </c:pt>
                <c:pt idx="4">
                  <c:v>7.3271002084196405E-3</c:v>
                </c:pt>
                <c:pt idx="5">
                  <c:v>6.8745296979683393E-3</c:v>
                </c:pt>
                <c:pt idx="6">
                  <c:v>-5.1125575758746112E-3</c:v>
                </c:pt>
                <c:pt idx="7">
                  <c:v>1.9434426508116977E-2</c:v>
                </c:pt>
                <c:pt idx="8">
                  <c:v>1.0099318495613028E-3</c:v>
                </c:pt>
                <c:pt idx="9">
                  <c:v>5.1760064122550811E-3</c:v>
                </c:pt>
                <c:pt idx="10">
                  <c:v>-1.0274466490983444E-2</c:v>
                </c:pt>
                <c:pt idx="11">
                  <c:v>-1.7775202212874874E-2</c:v>
                </c:pt>
                <c:pt idx="12">
                  <c:v>7.1969550278497985E-3</c:v>
                </c:pt>
                <c:pt idx="13">
                  <c:v>-6.5136297523902785E-3</c:v>
                </c:pt>
                <c:pt idx="14">
                  <c:v>6.0409417744019243E-4</c:v>
                </c:pt>
                <c:pt idx="15">
                  <c:v>3.8539463616293918E-3</c:v>
                </c:pt>
                <c:pt idx="16">
                  <c:v>-1.3454520509392573E-2</c:v>
                </c:pt>
                <c:pt idx="17">
                  <c:v>5.785507779709956E-3</c:v>
                </c:pt>
                <c:pt idx="18">
                  <c:v>9.4000334232495104E-3</c:v>
                </c:pt>
                <c:pt idx="19">
                  <c:v>-3.3296717589591071E-3</c:v>
                </c:pt>
                <c:pt idx="20">
                  <c:v>3.189196750224694E-3</c:v>
                </c:pt>
                <c:pt idx="21">
                  <c:v>1.0125353712170848E-2</c:v>
                </c:pt>
                <c:pt idx="22">
                  <c:v>-5.2047714594022952E-3</c:v>
                </c:pt>
                <c:pt idx="23">
                  <c:v>1.1597448784025475E-2</c:v>
                </c:pt>
                <c:pt idx="24">
                  <c:v>-1.8728480997185545E-3</c:v>
                </c:pt>
                <c:pt idx="25">
                  <c:v>8.8872332151661137E-3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B6-4935-916F-C893D8E51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9819824"/>
        <c:axId val="552765120"/>
      </c:lineChart>
      <c:catAx>
        <c:axId val="65981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GR"/>
          </a:p>
        </c:txPr>
        <c:crossAx val="552765120"/>
        <c:crosses val="autoZero"/>
        <c:auto val="1"/>
        <c:lblAlgn val="ctr"/>
        <c:lblOffset val="100"/>
        <c:noMultiLvlLbl val="0"/>
      </c:catAx>
      <c:valAx>
        <c:axId val="55276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GR"/>
          </a:p>
        </c:txPr>
        <c:crossAx val="65981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>
                <a:latin typeface="Calibri" panose="020F0502020204030204" pitchFamily="34" charset="0"/>
              </a:rPr>
              <a:t>Sharpe</a:t>
            </a:r>
            <a:r>
              <a:rPr lang="en-US" baseline="0">
                <a:latin typeface="Calibri" panose="020F0502020204030204" pitchFamily="34" charset="0"/>
              </a:rPr>
              <a:t> Ratio</a:t>
            </a:r>
            <a:endParaRPr lang="el-GR">
              <a:latin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'[ΔΙΑΧΕΙΡΙΣΗ ΕΠΕΝΔΥΣΕΩΝ - ΓΚΙΚΟΠΟΥΛΟΣ ΠΕΤΡΟΣ.xlsx]ΑΠΟΤΕΛΕΣΜΑΤΑ'!$H$12</c:f>
              <c:strCache>
                <c:ptCount val="1"/>
                <c:pt idx="0">
                  <c:v>Sharpe Ratio Χαρτοφυλακίου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'[ΔΙΑΧΕΙΡΙΣΗ ΕΠΕΝΔΥΣΕΩΝ - ΓΚΙΚΟΠΟΥΛΟΣ ΠΕΤΡΟΣ.xlsx]ΑΠΟΤΕΛΕΣΜΑΤΑ'!$I$12</c:f>
              <c:numCache>
                <c:formatCode>0.000</c:formatCode>
                <c:ptCount val="1"/>
                <c:pt idx="0">
                  <c:v>3.6888186263809049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6-474A-A9F5-D8822F633E91}"/>
            </c:ext>
          </c:extLst>
        </c:ser>
        <c:ser>
          <c:idx val="1"/>
          <c:order val="1"/>
          <c:tx>
            <c:strRef>
              <c:f>'[ΔΙΑΧΕΙΡΙΣΗ ΕΠΕΝΔΥΣΕΩΝ - ΓΚΙΚΟΠΟΥΛΟΣ ΠΕΤΡΟΣ.xlsx]ΑΠΟΤΕΛΕΣΜΑΤΑ'!$H$13</c:f>
              <c:strCache>
                <c:ptCount val="1"/>
                <c:pt idx="0">
                  <c:v>Sharpe Ratio Γ.Δ.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'[ΔΙΑΧΕΙΡΙΣΗ ΕΠΕΝΔΥΣΕΩΝ - ΓΚΙΚΟΠΟΥΛΟΣ ΠΕΤΡΟΣ.xlsx]ΑΠΟΤΕΛΕΣΜΑΤΑ'!$I$13</c:f>
              <c:numCache>
                <c:formatCode>0.000</c:formatCode>
                <c:ptCount val="1"/>
                <c:pt idx="0">
                  <c:v>0.16390383987109508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56-474A-A9F5-D8822F633E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9532912"/>
        <c:axId val="348215680"/>
      </c:barChart>
      <c:catAx>
        <c:axId val="4795329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215680"/>
        <c:crosses val="autoZero"/>
        <c:auto val="1"/>
        <c:lblAlgn val="ctr"/>
        <c:lblOffset val="100"/>
        <c:noMultiLvlLbl val="0"/>
      </c:catAx>
      <c:valAx>
        <c:axId val="3482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GR"/>
          </a:p>
        </c:txPr>
        <c:crossAx val="4795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AAC3119E9E468CB9364AFD0CAF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83F4-72CE-4C6E-88A2-95A8337B6FB4}"/>
      </w:docPartPr>
      <w:docPartBody>
        <w:p w:rsidR="005D5606" w:rsidRDefault="00863340" w:rsidP="00863340">
          <w:pPr>
            <w:pStyle w:val="43AAC3119E9E468CB9364AFD0CAF9903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91289432636340E1AF00E886D244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F09A-2D9E-4710-8587-5C43EF3C5D0E}"/>
      </w:docPartPr>
      <w:docPartBody>
        <w:p w:rsidR="001133C6" w:rsidRDefault="00B96583" w:rsidP="00B96583">
          <w:pPr>
            <w:pStyle w:val="91289432636340E1AF00E886D24418B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AEB96B43C6F14B63A2BD94A6D96D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DC9C-5A90-4AAA-9319-05745857E861}"/>
      </w:docPartPr>
      <w:docPartBody>
        <w:p w:rsidR="001133C6" w:rsidRDefault="00B96583" w:rsidP="00B96583">
          <w:pPr>
            <w:pStyle w:val="AEB96B43C6F14B63A2BD94A6D96D6D0E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40"/>
    <w:rsid w:val="000D7CF9"/>
    <w:rsid w:val="001133C6"/>
    <w:rsid w:val="003240C2"/>
    <w:rsid w:val="003F608B"/>
    <w:rsid w:val="004A4BAB"/>
    <w:rsid w:val="005568A8"/>
    <w:rsid w:val="00560FF0"/>
    <w:rsid w:val="005D5606"/>
    <w:rsid w:val="00624EF5"/>
    <w:rsid w:val="007763EA"/>
    <w:rsid w:val="00863340"/>
    <w:rsid w:val="009B1EAE"/>
    <w:rsid w:val="00A2530B"/>
    <w:rsid w:val="00A45C10"/>
    <w:rsid w:val="00AA6579"/>
    <w:rsid w:val="00B85D88"/>
    <w:rsid w:val="00B96583"/>
    <w:rsid w:val="00D053E3"/>
    <w:rsid w:val="00DD42A4"/>
    <w:rsid w:val="00E90ECA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AC3119E9E468CB9364AFD0CAF9903">
    <w:name w:val="43AAC3119E9E468CB9364AFD0CAF9903"/>
    <w:rsid w:val="00863340"/>
  </w:style>
  <w:style w:type="paragraph" w:customStyle="1" w:styleId="91289432636340E1AF00E886D24418BF">
    <w:name w:val="91289432636340E1AF00E886D24418BF"/>
    <w:rsid w:val="00B96583"/>
  </w:style>
  <w:style w:type="paragraph" w:customStyle="1" w:styleId="AEB96B43C6F14B63A2BD94A6D96D6D0E">
    <w:name w:val="AEB96B43C6F14B63A2BD94A6D96D6D0E"/>
    <w:rsid w:val="00B9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Custom 1">
      <a:dk1>
        <a:srgbClr val="000000"/>
      </a:dk1>
      <a:lt1>
        <a:sysClr val="window" lastClr="FFFFFF"/>
      </a:lt1>
      <a:dk2>
        <a:srgbClr val="132E57"/>
      </a:dk2>
      <a:lt2>
        <a:srgbClr val="D8D8D8"/>
      </a:lt2>
      <a:accent1>
        <a:srgbClr val="132E57"/>
      </a:accent1>
      <a:accent2>
        <a:srgbClr val="FA621C"/>
      </a:accent2>
      <a:accent3>
        <a:srgbClr val="F57A16"/>
      </a:accent3>
      <a:accent4>
        <a:srgbClr val="E6E7E7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E-mail: petrosgkiko@hotmail.com Διδάσκων: Α. Δράκος</PublishDate>
  <Abstract>Γ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5A5F71-B5FD-43D7-8D17-CE1F9A53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Διαχείριση Επενδύσεων</vt:lpstr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Διαχείριση Επενδύσεων</dc:title>
  <dc:subject>Ονοματεπώνυμο: Γκικόπουλος Πέτρος                                                                  Αριθμός Μητρώου: 2170037                                                                                     E-mail: petrosgkiko@hotmail.com                                                              Διδάσκων: Α. Δράκος</dc:subject>
  <dc:creator>Γκικόπουλος Πέτρος</dc:creator>
  <cp:keywords/>
  <dc:description/>
  <cp:lastModifiedBy>ANASTASIOS DRAKOS</cp:lastModifiedBy>
  <cp:revision>2</cp:revision>
  <dcterms:created xsi:type="dcterms:W3CDTF">2021-06-05T11:26:00Z</dcterms:created>
  <dcterms:modified xsi:type="dcterms:W3CDTF">2021-06-05T11:26:00Z</dcterms:modified>
</cp:coreProperties>
</file>