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0566" w14:textId="7AE4CD02" w:rsidR="009F3C02" w:rsidRPr="009F3C02" w:rsidRDefault="009F3C02" w:rsidP="009F3C02">
      <w:pPr>
        <w:jc w:val="both"/>
        <w:rPr>
          <w:b/>
          <w:szCs w:val="24"/>
          <w:lang w:val="el-GR"/>
        </w:rPr>
      </w:pPr>
      <w:r w:rsidRPr="009F3C02">
        <w:rPr>
          <w:b/>
          <w:szCs w:val="24"/>
          <w:lang w:val="el-GR"/>
        </w:rPr>
        <w:t>Εγγραφές διάθεσης αποτελεσμάτων ΑΕ</w:t>
      </w:r>
    </w:p>
    <w:p w14:paraId="14D2AF51" w14:textId="3699AF27" w:rsidR="009F3C02" w:rsidRPr="009F3C02" w:rsidRDefault="009F3C02" w:rsidP="009F3C02">
      <w:pPr>
        <w:jc w:val="both"/>
        <w:rPr>
          <w:b/>
          <w:szCs w:val="24"/>
          <w:lang w:val="el-GR"/>
        </w:rPr>
      </w:pPr>
      <w:r w:rsidRPr="009F3C02">
        <w:rPr>
          <w:b/>
          <w:szCs w:val="24"/>
          <w:lang w:val="el-GR"/>
        </w:rPr>
        <w:t xml:space="preserve">Άσκηση </w:t>
      </w:r>
    </w:p>
    <w:p w14:paraId="719C816D" w14:textId="6738A72D" w:rsidR="009F3C02" w:rsidRPr="009F3C02" w:rsidRDefault="009F3C02" w:rsidP="009F3C02">
      <w:pPr>
        <w:ind w:firstLine="720"/>
        <w:jc w:val="both"/>
        <w:rPr>
          <w:szCs w:val="24"/>
          <w:lang w:val="el-GR"/>
        </w:rPr>
      </w:pPr>
      <w:r w:rsidRPr="009F3C02">
        <w:rPr>
          <w:szCs w:val="24"/>
          <w:lang w:val="el-GR"/>
        </w:rPr>
        <w:t xml:space="preserve">Η ανώνυμη εταιρεία "ΑΒΓ" Α.Ε., πραγματοποίησε,  στην  χρήση  που  έληξε  στις  31/12/20Χ1, κέρδη προ φόρων ύψους 120.000 € τα οποία και διαθέτει ως εξής: </w:t>
      </w:r>
    </w:p>
    <w:p w14:paraId="1C1E2BFC" w14:textId="1A896A9B" w:rsidR="009F3C02" w:rsidRPr="009F3C02" w:rsidRDefault="009F3C02" w:rsidP="009F3C02">
      <w:pPr>
        <w:jc w:val="both"/>
        <w:rPr>
          <w:szCs w:val="24"/>
          <w:lang w:val="el-GR"/>
        </w:rPr>
      </w:pPr>
      <w:r w:rsidRPr="009F3C02">
        <w:rPr>
          <w:szCs w:val="24"/>
          <w:lang w:val="el-GR"/>
        </w:rPr>
        <w:tab/>
        <w:t xml:space="preserve">- θα κάνει κράτηση για  τακτικό  αποθεματικό  το </w:t>
      </w:r>
      <w:r>
        <w:rPr>
          <w:szCs w:val="24"/>
          <w:lang w:val="el-GR"/>
        </w:rPr>
        <w:t>ποσό των €4.375</w:t>
      </w:r>
      <w:r w:rsidRPr="009F3C02">
        <w:rPr>
          <w:szCs w:val="24"/>
          <w:lang w:val="el-GR"/>
        </w:rPr>
        <w:t xml:space="preserve"> </w:t>
      </w:r>
    </w:p>
    <w:p w14:paraId="69F724C7" w14:textId="43449010" w:rsidR="009F3C02" w:rsidRPr="009F3C02" w:rsidRDefault="009F3C02" w:rsidP="009F3C02">
      <w:pPr>
        <w:jc w:val="both"/>
        <w:rPr>
          <w:szCs w:val="24"/>
          <w:lang w:val="el-GR"/>
        </w:rPr>
      </w:pPr>
      <w:r w:rsidRPr="009F3C02">
        <w:rPr>
          <w:szCs w:val="24"/>
          <w:lang w:val="el-GR"/>
        </w:rPr>
        <w:tab/>
        <w:t xml:space="preserve">- θα </w:t>
      </w:r>
      <w:r>
        <w:rPr>
          <w:szCs w:val="24"/>
          <w:lang w:val="el-GR"/>
        </w:rPr>
        <w:t xml:space="preserve">διανείμει μέρισμα </w:t>
      </w:r>
      <w:r w:rsidRPr="009F3C02">
        <w:rPr>
          <w:szCs w:val="24"/>
          <w:lang w:val="el-GR"/>
        </w:rPr>
        <w:t xml:space="preserve"> </w:t>
      </w:r>
      <w:r>
        <w:rPr>
          <w:szCs w:val="24"/>
          <w:lang w:val="el-GR"/>
        </w:rPr>
        <w:t>ποσού € 41.488.</w:t>
      </w:r>
    </w:p>
    <w:p w14:paraId="494ADF27" w14:textId="77777777" w:rsidR="009F3C02" w:rsidRPr="009F3C02" w:rsidRDefault="009F3C02" w:rsidP="009F3C02">
      <w:pPr>
        <w:jc w:val="both"/>
        <w:rPr>
          <w:szCs w:val="24"/>
          <w:lang w:val="el-GR"/>
        </w:rPr>
      </w:pPr>
      <w:r w:rsidRPr="009F3C02">
        <w:rPr>
          <w:szCs w:val="24"/>
          <w:lang w:val="el-GR"/>
        </w:rPr>
        <w:tab/>
        <w:t>Λαμβάνοντας υπόψη ότι:</w:t>
      </w:r>
    </w:p>
    <w:p w14:paraId="6A9BC04D" w14:textId="68F84ACF" w:rsidR="009F3C02" w:rsidRPr="009F3C02" w:rsidRDefault="009F3C02" w:rsidP="009F3C02">
      <w:pPr>
        <w:jc w:val="both"/>
        <w:rPr>
          <w:szCs w:val="24"/>
          <w:lang w:val="el-GR"/>
        </w:rPr>
      </w:pPr>
      <w:r w:rsidRPr="009F3C02">
        <w:rPr>
          <w:szCs w:val="24"/>
          <w:lang w:val="el-GR"/>
        </w:rPr>
        <w:tab/>
        <w:t xml:space="preserve">-  </w:t>
      </w:r>
      <w:r w:rsidR="00555B39">
        <w:rPr>
          <w:szCs w:val="24"/>
          <w:lang w:val="el-GR"/>
        </w:rPr>
        <w:t>το έξοδο φόρου για την χρήση ανέρχεται σε €25.300.</w:t>
      </w:r>
    </w:p>
    <w:p w14:paraId="2F609A5D" w14:textId="5D6DC37D" w:rsidR="007C09DF" w:rsidRDefault="00555B39" w:rsidP="00555B39">
      <w:pPr>
        <w:ind w:firstLine="720"/>
        <w:jc w:val="both"/>
        <w:rPr>
          <w:szCs w:val="24"/>
          <w:lang w:val="el-GR"/>
        </w:rPr>
      </w:pPr>
      <w:r>
        <w:rPr>
          <w:szCs w:val="24"/>
          <w:lang w:val="el-GR"/>
        </w:rPr>
        <w:t xml:space="preserve">Ζητείται να </w:t>
      </w:r>
      <w:r w:rsidRPr="009F3C02">
        <w:rPr>
          <w:szCs w:val="24"/>
          <w:lang w:val="el-GR"/>
        </w:rPr>
        <w:t>διενεργήσ</w:t>
      </w:r>
      <w:r>
        <w:rPr>
          <w:szCs w:val="24"/>
          <w:lang w:val="el-GR"/>
        </w:rPr>
        <w:t>ε</w:t>
      </w:r>
      <w:r w:rsidRPr="009F3C02">
        <w:rPr>
          <w:szCs w:val="24"/>
          <w:lang w:val="el-GR"/>
        </w:rPr>
        <w:t>τ</w:t>
      </w:r>
      <w:r>
        <w:rPr>
          <w:szCs w:val="24"/>
          <w:lang w:val="el-GR"/>
        </w:rPr>
        <w:t>ε</w:t>
      </w:r>
      <w:r w:rsidR="009F3C02" w:rsidRPr="009F3C02">
        <w:rPr>
          <w:szCs w:val="24"/>
          <w:lang w:val="el-GR"/>
        </w:rPr>
        <w:t xml:space="preserve"> τις σχετικές ημερολογιακές εγγραφές στα βιβλία της </w:t>
      </w:r>
      <w:r>
        <w:rPr>
          <w:szCs w:val="24"/>
          <w:lang w:val="el-GR"/>
        </w:rPr>
        <w:t>ΑΒΓ.</w:t>
      </w:r>
    </w:p>
    <w:p w14:paraId="411C80B3" w14:textId="77777777" w:rsidR="00032A9F" w:rsidRDefault="00032A9F" w:rsidP="00555B39">
      <w:pPr>
        <w:ind w:firstLine="720"/>
        <w:jc w:val="both"/>
        <w:rPr>
          <w:szCs w:val="24"/>
          <w:lang w:val="el-GR"/>
        </w:rPr>
      </w:pPr>
    </w:p>
    <w:p w14:paraId="3C37356C" w14:textId="77777777" w:rsidR="00032A9F" w:rsidRPr="004D0CA4" w:rsidRDefault="00032A9F" w:rsidP="00032A9F">
      <w:pPr>
        <w:jc w:val="center"/>
        <w:rPr>
          <w:lang w:val="el-GR"/>
        </w:rPr>
      </w:pPr>
      <w:r w:rsidRPr="004D0CA4">
        <w:rPr>
          <w:b/>
          <w:bCs/>
          <w:lang w:val="el-GR"/>
        </w:rPr>
        <w:t>Προβλέψεις για κινδύνους και έξοδα</w:t>
      </w:r>
    </w:p>
    <w:p w14:paraId="2D0948F3" w14:textId="77777777" w:rsidR="00032A9F" w:rsidRPr="00032A9F" w:rsidRDefault="00032A9F" w:rsidP="00032A9F">
      <w:pPr>
        <w:rPr>
          <w:lang w:val="el-GR"/>
        </w:rPr>
      </w:pPr>
      <w:r w:rsidRPr="00032A9F">
        <w:rPr>
          <w:b/>
          <w:bCs/>
          <w:lang w:val="el-GR"/>
        </w:rPr>
        <w:t>Πρόβλεψη</w:t>
      </w:r>
      <w:r w:rsidRPr="00032A9F">
        <w:rPr>
          <w:lang w:val="el-GR"/>
        </w:rPr>
        <w:t xml:space="preserve"> </w:t>
      </w:r>
      <w:r w:rsidRPr="00032A9F">
        <w:rPr>
          <w:b/>
          <w:bCs/>
          <w:lang w:val="el-GR"/>
        </w:rPr>
        <w:t xml:space="preserve">για κινδύνους και έξοδα </w:t>
      </w:r>
      <w:r w:rsidRPr="00032A9F">
        <w:rPr>
          <w:lang w:val="el-GR"/>
        </w:rPr>
        <w:t>είναι ένα στοιχείο του παθητικού αβέβαιης χρονολογίας ή ποσού. Σύμφωνα με τα Διεθνή Λογιστικά Πρότυπα μία πρόβλεψη θα αναγνωρίζεται όταν:</w:t>
      </w:r>
    </w:p>
    <w:p w14:paraId="58406E83" w14:textId="77777777" w:rsidR="00032A9F" w:rsidRPr="00032A9F" w:rsidRDefault="00032A9F" w:rsidP="00032A9F">
      <w:pPr>
        <w:ind w:left="720"/>
        <w:rPr>
          <w:lang w:val="el-GR"/>
        </w:rPr>
      </w:pPr>
      <w:r w:rsidRPr="00032A9F">
        <w:rPr>
          <w:lang w:val="el-GR"/>
        </w:rPr>
        <w:t xml:space="preserve">(α) η επιχείρηση έχει μία παρούσα δέσμευση (νομική ή </w:t>
      </w:r>
      <w:proofErr w:type="spellStart"/>
      <w:r w:rsidRPr="00032A9F">
        <w:rPr>
          <w:lang w:val="el-GR"/>
        </w:rPr>
        <w:t>τεκμαιρόμενη</w:t>
      </w:r>
      <w:proofErr w:type="spellEnd"/>
      <w:r w:rsidRPr="00032A9F">
        <w:rPr>
          <w:lang w:val="el-GR"/>
        </w:rPr>
        <w:t>) που είναι αποτέλεσμα παλαιοτέρων γεγονότων</w:t>
      </w:r>
    </w:p>
    <w:p w14:paraId="3ADC886F" w14:textId="77777777" w:rsidR="00032A9F" w:rsidRPr="00032A9F" w:rsidRDefault="00032A9F" w:rsidP="00032A9F">
      <w:pPr>
        <w:ind w:left="720"/>
        <w:rPr>
          <w:lang w:val="el-GR"/>
        </w:rPr>
      </w:pPr>
      <w:r w:rsidRPr="00032A9F">
        <w:rPr>
          <w:lang w:val="el-GR"/>
        </w:rPr>
        <w:t>(β) είναι πιθανό ότι η τακτοποίηση της δέσμευσης αυτής θα προκαλέσει μία εκροή από την επιχείρηση πόρων που ενσωματώνουν οικονομικά οφέλη και</w:t>
      </w:r>
    </w:p>
    <w:p w14:paraId="396AD2EE" w14:textId="77777777" w:rsidR="00032A9F" w:rsidRPr="00032A9F" w:rsidRDefault="00032A9F" w:rsidP="00032A9F">
      <w:pPr>
        <w:ind w:left="720"/>
        <w:rPr>
          <w:lang w:val="el-GR"/>
        </w:rPr>
      </w:pPr>
      <w:r w:rsidRPr="00032A9F">
        <w:rPr>
          <w:lang w:val="el-GR"/>
        </w:rPr>
        <w:t>(γ) μία αξιόπιστη εκτίμηση του ποσού της δέσμευσης μπορεί να γίνει</w:t>
      </w:r>
    </w:p>
    <w:p w14:paraId="522ACEAC" w14:textId="77777777" w:rsidR="00032A9F" w:rsidRPr="00032A9F" w:rsidRDefault="00032A9F" w:rsidP="00032A9F">
      <w:pPr>
        <w:ind w:left="720"/>
        <w:rPr>
          <w:lang w:val="el-GR"/>
        </w:rPr>
      </w:pPr>
      <w:r w:rsidRPr="00032A9F">
        <w:rPr>
          <w:lang w:val="el-GR"/>
        </w:rPr>
        <w:t>Στις σπάνιες περιπτώσεις που δεν είναι σαφές εάν υπάρχει παρούσα δέσμευση, ένα παρελθόν γεγονός θεωρείται να προκαλεί παρούσα δέσμευση, εφόσον, αξιολογώντας τα διαθέσιμα στοιχεία, είναι πιο πιθανό ότι μία παρούσα δέσμευση</w:t>
      </w:r>
      <w:r w:rsidRPr="00032A9F">
        <w:rPr>
          <w:i/>
          <w:iCs/>
          <w:lang w:val="el-GR"/>
        </w:rPr>
        <w:t xml:space="preserve"> υπάρχει την ημερομηνία του ισολογισμού.</w:t>
      </w:r>
    </w:p>
    <w:p w14:paraId="3FEB3D57" w14:textId="77777777" w:rsidR="00032A9F" w:rsidRPr="00032A9F" w:rsidRDefault="00032A9F" w:rsidP="00032A9F">
      <w:pPr>
        <w:rPr>
          <w:b/>
          <w:bCs/>
          <w:lang w:val="el-GR"/>
        </w:rPr>
      </w:pPr>
    </w:p>
    <w:p w14:paraId="566FC5B3" w14:textId="77777777" w:rsidR="008624E5" w:rsidRDefault="008624E5" w:rsidP="00032A9F">
      <w:pPr>
        <w:rPr>
          <w:b/>
          <w:bCs/>
          <w:lang w:val="el-GR"/>
        </w:rPr>
      </w:pPr>
    </w:p>
    <w:p w14:paraId="3E9CF7EA" w14:textId="057E397B" w:rsidR="00032A9F" w:rsidRPr="00032A9F" w:rsidRDefault="00032A9F" w:rsidP="00032A9F">
      <w:pPr>
        <w:rPr>
          <w:bCs/>
          <w:lang w:val="el-GR"/>
        </w:rPr>
      </w:pPr>
      <w:r w:rsidRPr="00032A9F">
        <w:rPr>
          <w:b/>
          <w:bCs/>
          <w:lang w:val="el-GR"/>
        </w:rPr>
        <w:t xml:space="preserve">Νομική δέσμευση </w:t>
      </w:r>
      <w:r w:rsidRPr="00032A9F">
        <w:rPr>
          <w:bCs/>
          <w:lang w:val="el-GR"/>
        </w:rPr>
        <w:t>είναι μία δέσμευση που προέρχεται από: (α) ένα συμβόλαιο ή (β) τη νομοθεσία ή (γ) άλλη λειτουργία του νόμου</w:t>
      </w:r>
    </w:p>
    <w:p w14:paraId="26DFA686" w14:textId="77777777" w:rsidR="00032A9F" w:rsidRPr="00032A9F" w:rsidRDefault="00032A9F" w:rsidP="00032A9F">
      <w:pPr>
        <w:rPr>
          <w:bCs/>
          <w:lang w:val="el-GR"/>
        </w:rPr>
      </w:pPr>
      <w:proofErr w:type="spellStart"/>
      <w:r w:rsidRPr="00032A9F">
        <w:rPr>
          <w:b/>
          <w:bCs/>
          <w:lang w:val="el-GR"/>
        </w:rPr>
        <w:t>Τεκμαιρόμενη</w:t>
      </w:r>
      <w:proofErr w:type="spellEnd"/>
      <w:r w:rsidRPr="00032A9F">
        <w:rPr>
          <w:b/>
          <w:bCs/>
          <w:lang w:val="el-GR"/>
        </w:rPr>
        <w:t xml:space="preserve"> δέσμευση </w:t>
      </w:r>
      <w:r w:rsidRPr="00032A9F">
        <w:rPr>
          <w:bCs/>
          <w:lang w:val="el-GR"/>
        </w:rPr>
        <w:t>είναι μία δέσμευση που πηγάζει: (α) μέσα από ένα καθιερωμένο τύπο πρακτικής της επιχείρησης που ασκήθηκε στο παρελθόν, από δημοσιευμένες πολιτικές ή από πολύ σαφείς τρέχουσες δηλώσεις, η επιχείρηση έχει δείξει σε τρίτα μέρη ότι θα αναλάβει συγκεκριμένες ευθύνες και (β) σαν αποτέλεσμα, η επιχείρηση έχει δημιουργήσει ισχυρές προσδοκίες σε τρίτους ότι θα εκπληρώσει αυτές τις υποχρεώσεις.</w:t>
      </w:r>
    </w:p>
    <w:p w14:paraId="350E6A65" w14:textId="77777777" w:rsidR="00BD3B9C" w:rsidRDefault="00BD3B9C" w:rsidP="00BD3B9C">
      <w:pPr>
        <w:jc w:val="both"/>
        <w:rPr>
          <w:b/>
          <w:bCs/>
          <w:lang w:val="el-GR"/>
        </w:rPr>
      </w:pPr>
    </w:p>
    <w:p w14:paraId="08432614" w14:textId="0AF6B1C4" w:rsidR="00BD3B9C" w:rsidRDefault="00BD3B9C" w:rsidP="00BD3B9C">
      <w:pPr>
        <w:jc w:val="both"/>
        <w:rPr>
          <w:lang w:val="el-GR"/>
        </w:rPr>
      </w:pPr>
      <w:r w:rsidRPr="004D0CA4">
        <w:rPr>
          <w:b/>
          <w:bCs/>
          <w:lang w:val="el-GR"/>
        </w:rPr>
        <w:t>Παράδειγμα 1</w:t>
      </w:r>
    </w:p>
    <w:p w14:paraId="13188790" w14:textId="77777777" w:rsidR="00BD3B9C" w:rsidRPr="004D0CA4" w:rsidRDefault="00BD3B9C" w:rsidP="00BD3B9C">
      <w:pPr>
        <w:jc w:val="both"/>
        <w:rPr>
          <w:lang w:val="el-GR"/>
        </w:rPr>
      </w:pPr>
      <w:r w:rsidRPr="004D0CA4">
        <w:rPr>
          <w:lang w:val="el-GR"/>
        </w:rPr>
        <w:t xml:space="preserve">Πετρελαϊκή εταιρεία δραστηριοποιείται σε χώρα στην οποία δεν υπάρχει σχετική νομοθεσία που να απαιτεί την αποκατάσταση του περιβάλλοντος χώρου στην περίπτωση που υπάρξει μόλυνση αυτού από τις δραστηριότητες της επιχείρησης. Σαν αποτέλεσμα των δραστηριοτήτων της μολύνεται ο </w:t>
      </w:r>
      <w:proofErr w:type="spellStart"/>
      <w:r w:rsidRPr="004D0CA4">
        <w:rPr>
          <w:lang w:val="el-GR"/>
        </w:rPr>
        <w:t>περιβάλλων</w:t>
      </w:r>
      <w:proofErr w:type="spellEnd"/>
      <w:r w:rsidRPr="004D0CA4">
        <w:rPr>
          <w:lang w:val="el-GR"/>
        </w:rPr>
        <w:t xml:space="preserve"> χώρος.  Η επιχείρηση ακολουθεί μια πολιτική φιλική προς το περιβάλλον και κατά πάγια τακτική προβαίνει σε αποκατάσταση του χώρου που μολύνει, και πάντα δημοσιεύει αυτό το γεγονός. </w:t>
      </w:r>
    </w:p>
    <w:p w14:paraId="2F155EEE" w14:textId="77777777" w:rsidR="00BD3B9C" w:rsidRPr="004D0CA4" w:rsidRDefault="00BD3B9C" w:rsidP="00BD3B9C">
      <w:pPr>
        <w:jc w:val="both"/>
        <w:rPr>
          <w:lang w:val="el-GR"/>
        </w:rPr>
      </w:pPr>
      <w:r w:rsidRPr="004D0CA4">
        <w:rPr>
          <w:lang w:val="el-GR"/>
        </w:rPr>
        <w:t>Στη χρήση 2015 ξεκίνησε την εκμετάλλευση ενός κοιτάσματος πετρελαίου. Στις 31/12/2015 το κόστος αποκατάστασης του περιβάλλοντος εκτιμήθηκε σε € 1.000. Στις 31/12/2016 το συνολικό κόστος αποκατάστασης του περιβάλλοντος εκτιμήθηκε σε € 4.000. Στις 31/12/2017, το συνολικό κόστος αποκατάστασης του περιβάλλοντος εκτιμήθηκε σε € 10.000.</w:t>
      </w:r>
    </w:p>
    <w:p w14:paraId="61E78C1A" w14:textId="77777777" w:rsidR="00BD3B9C" w:rsidRPr="004D0CA4" w:rsidRDefault="00BD3B9C" w:rsidP="00BD3B9C">
      <w:pPr>
        <w:jc w:val="both"/>
        <w:rPr>
          <w:lang w:val="el-GR"/>
        </w:rPr>
      </w:pPr>
      <w:r w:rsidRPr="004D0CA4">
        <w:rPr>
          <w:lang w:val="el-GR"/>
        </w:rPr>
        <w:t xml:space="preserve">Πρέπει η επιχείρηση να αναγνωρίσει υποχρέωση στα έτη 2015, 2016 &amp; 2017, δεδομένου ότι δεν έχει νομική υποχρέωση να προβεί σε  αποκατάσταση του περιβάλλοντος χώρου; </w:t>
      </w:r>
    </w:p>
    <w:p w14:paraId="6D042656" w14:textId="77777777" w:rsidR="00032A9F" w:rsidRPr="00032A9F" w:rsidRDefault="00032A9F" w:rsidP="00032A9F">
      <w:pPr>
        <w:rPr>
          <w:bCs/>
          <w:lang w:val="el-GR"/>
        </w:rPr>
      </w:pPr>
    </w:p>
    <w:p w14:paraId="533FB245" w14:textId="77777777" w:rsidR="00032A9F" w:rsidRPr="00032A9F" w:rsidRDefault="00032A9F" w:rsidP="00032A9F">
      <w:pPr>
        <w:rPr>
          <w:bCs/>
          <w:lang w:val="el-GR"/>
        </w:rPr>
      </w:pPr>
    </w:p>
    <w:p w14:paraId="4DA6D2D0" w14:textId="77777777" w:rsidR="00032A9F" w:rsidRPr="00032A9F" w:rsidRDefault="00032A9F" w:rsidP="00032A9F">
      <w:pPr>
        <w:rPr>
          <w:lang w:val="el-GR"/>
        </w:rPr>
      </w:pPr>
      <w:r w:rsidRPr="00032A9F">
        <w:rPr>
          <w:b/>
          <w:bCs/>
          <w:lang w:val="el-GR"/>
        </w:rPr>
        <w:t>Μέτρηση μίας Πρόβλεψης.</w:t>
      </w:r>
      <w:r w:rsidRPr="00032A9F">
        <w:rPr>
          <w:lang w:val="el-GR"/>
        </w:rPr>
        <w:t xml:space="preserve"> </w:t>
      </w:r>
    </w:p>
    <w:p w14:paraId="13F255EC" w14:textId="77777777" w:rsidR="00032A9F" w:rsidRPr="00032A9F" w:rsidRDefault="00032A9F" w:rsidP="00032A9F">
      <w:pPr>
        <w:ind w:firstLine="360"/>
        <w:rPr>
          <w:lang w:val="el-GR"/>
        </w:rPr>
      </w:pPr>
      <w:r w:rsidRPr="00032A9F">
        <w:rPr>
          <w:lang w:val="el-GR"/>
        </w:rPr>
        <w:t>Το ποσό που αναγνωρίζεται ως πρόβλεψη θα πρέπει να αντιπροσωπεύει την καλύτερη δυνατή εκτίμηση της δαπάνης που θα απαιτηθεί για την τακτοποίηση της παρούσας δέσμευσης την ημέρα του ισολογισμού.</w:t>
      </w:r>
    </w:p>
    <w:p w14:paraId="52D708D6" w14:textId="77777777" w:rsidR="00032A9F" w:rsidRPr="00032A9F" w:rsidRDefault="00032A9F" w:rsidP="00032A9F">
      <w:pPr>
        <w:ind w:firstLine="360"/>
        <w:rPr>
          <w:lang w:val="el-GR"/>
        </w:rPr>
      </w:pPr>
      <w:r w:rsidRPr="00032A9F">
        <w:rPr>
          <w:lang w:val="el-GR"/>
        </w:rPr>
        <w:t>Οι κίνδυνοι και αβεβαιότητες που περιβάλλουν πολλά γεγονότα καθώς και οι ειδικές περιστάσεις θα πρέπει να λαμβάνονται υπόψη για την εκτίμηση του ποσού της πρόβλεψης</w:t>
      </w:r>
    </w:p>
    <w:p w14:paraId="1E7AEC3C" w14:textId="77777777" w:rsidR="00032A9F" w:rsidRPr="00032A9F" w:rsidRDefault="00032A9F" w:rsidP="00032A9F">
      <w:pPr>
        <w:ind w:firstLine="360"/>
        <w:rPr>
          <w:lang w:val="el-GR"/>
        </w:rPr>
      </w:pPr>
      <w:r w:rsidRPr="00032A9F">
        <w:rPr>
          <w:lang w:val="el-GR"/>
        </w:rPr>
        <w:t>Οι προβλέψεις θα πρέπει να αναθεωρούνται κάθε χρόνο και να προσαρμόζονται στην καλύτερη δυνατή εκτίμηση</w:t>
      </w:r>
    </w:p>
    <w:p w14:paraId="6CC58240" w14:textId="77777777" w:rsidR="00032A9F" w:rsidRPr="00032A9F" w:rsidRDefault="00032A9F" w:rsidP="00032A9F">
      <w:pPr>
        <w:ind w:firstLine="360"/>
        <w:rPr>
          <w:lang w:val="el-GR"/>
        </w:rPr>
      </w:pPr>
      <w:r w:rsidRPr="00032A9F">
        <w:rPr>
          <w:lang w:val="el-GR"/>
        </w:rPr>
        <w:t>Μία πρόβλεψη θα πρέπει να χρησιμοποιείται μόνο για δαπάνες για τις οποίες αναγνωρίσθηκε.</w:t>
      </w:r>
    </w:p>
    <w:p w14:paraId="7022C3E3" w14:textId="77777777" w:rsidR="00032A9F" w:rsidRPr="00032A9F" w:rsidRDefault="00032A9F" w:rsidP="00032A9F">
      <w:pPr>
        <w:ind w:firstLine="360"/>
        <w:rPr>
          <w:lang w:val="el-GR"/>
        </w:rPr>
      </w:pPr>
      <w:r w:rsidRPr="00032A9F">
        <w:rPr>
          <w:lang w:val="el-GR"/>
        </w:rPr>
        <w:t>Δεν θα αναγνωρίζονται προβλέψεις για μελλοντικές λειτουργικές ζημίες</w:t>
      </w:r>
    </w:p>
    <w:p w14:paraId="00C1D860" w14:textId="77777777" w:rsidR="00032A9F" w:rsidRPr="00032A9F" w:rsidRDefault="00032A9F" w:rsidP="00032A9F">
      <w:pPr>
        <w:ind w:firstLine="360"/>
        <w:rPr>
          <w:lang w:val="el-GR"/>
        </w:rPr>
      </w:pPr>
      <w:r w:rsidRPr="00032A9F">
        <w:rPr>
          <w:lang w:val="el-GR"/>
        </w:rPr>
        <w:t xml:space="preserve">Θα αναγνωρίζονται και θα </w:t>
      </w:r>
      <w:proofErr w:type="spellStart"/>
      <w:r w:rsidRPr="00032A9F">
        <w:rPr>
          <w:lang w:val="el-GR"/>
        </w:rPr>
        <w:t>μετρώνται</w:t>
      </w:r>
      <w:proofErr w:type="spellEnd"/>
      <w:r w:rsidRPr="00032A9F">
        <w:rPr>
          <w:lang w:val="el-GR"/>
        </w:rPr>
        <w:t xml:space="preserve"> υποχρεώσεις από επαχθή συμβόλαια (δηλ. συμβόλαια στα οποία τα αναπόφευκτα κόστη εκπλήρωσης των δεσμεύσεων που προκύπτουν από τα συμβόλαια υπερβαίνουν τα οικονομικά οφέλη που θα ληφθούν από την εκπλήρωσή τους).</w:t>
      </w:r>
    </w:p>
    <w:p w14:paraId="2796868F" w14:textId="77777777" w:rsidR="00032A9F" w:rsidRPr="00032A9F" w:rsidRDefault="00032A9F" w:rsidP="00032A9F">
      <w:pPr>
        <w:ind w:firstLine="360"/>
        <w:rPr>
          <w:lang w:val="el-GR"/>
        </w:rPr>
      </w:pPr>
    </w:p>
    <w:p w14:paraId="15EF3D6C" w14:textId="77777777" w:rsidR="004D0CA4" w:rsidRDefault="004D0CA4" w:rsidP="00032A9F">
      <w:pPr>
        <w:rPr>
          <w:b/>
          <w:bCs/>
          <w:lang w:val="el-GR"/>
        </w:rPr>
      </w:pPr>
    </w:p>
    <w:p w14:paraId="54B4F1D1" w14:textId="7EC63BC0" w:rsidR="00032A9F" w:rsidRPr="00032A9F" w:rsidRDefault="00032A9F" w:rsidP="00032A9F">
      <w:pPr>
        <w:rPr>
          <w:b/>
          <w:bCs/>
          <w:lang w:val="el-GR"/>
        </w:rPr>
      </w:pPr>
      <w:r w:rsidRPr="00032A9F">
        <w:rPr>
          <w:b/>
          <w:bCs/>
          <w:lang w:val="el-GR"/>
        </w:rPr>
        <w:t xml:space="preserve">Ενδεχόμενη υποχρέωση (δεν </w:t>
      </w:r>
      <w:proofErr w:type="spellStart"/>
      <w:r w:rsidRPr="00032A9F">
        <w:rPr>
          <w:b/>
          <w:bCs/>
          <w:lang w:val="el-GR"/>
        </w:rPr>
        <w:t>λογιστικοποιείται</w:t>
      </w:r>
      <w:proofErr w:type="spellEnd"/>
      <w:r w:rsidRPr="00032A9F">
        <w:rPr>
          <w:b/>
          <w:bCs/>
          <w:lang w:val="el-GR"/>
        </w:rPr>
        <w:t>)</w:t>
      </w:r>
    </w:p>
    <w:p w14:paraId="3CADCA69" w14:textId="77777777" w:rsidR="00032A9F" w:rsidRPr="00032A9F" w:rsidRDefault="00032A9F" w:rsidP="00032A9F">
      <w:pPr>
        <w:spacing w:line="360" w:lineRule="auto"/>
        <w:ind w:left="357"/>
        <w:rPr>
          <w:bCs/>
          <w:lang w:val="el-GR"/>
        </w:rPr>
      </w:pPr>
      <w:r w:rsidRPr="00032A9F">
        <w:rPr>
          <w:bCs/>
          <w:lang w:val="el-GR"/>
        </w:rPr>
        <w:t>πιθανή δέσμευση</w:t>
      </w:r>
    </w:p>
    <w:p w14:paraId="723AFA74" w14:textId="77777777" w:rsidR="00032A9F" w:rsidRPr="00032A9F" w:rsidRDefault="00032A9F" w:rsidP="00032A9F">
      <w:pPr>
        <w:spacing w:line="360" w:lineRule="auto"/>
        <w:ind w:left="720"/>
        <w:rPr>
          <w:bCs/>
          <w:lang w:val="el-GR"/>
        </w:rPr>
      </w:pPr>
      <w:r w:rsidRPr="00032A9F">
        <w:rPr>
          <w:bCs/>
          <w:lang w:val="el-GR"/>
        </w:rPr>
        <w:t>- εξαρτάται από ένα ή περισσότερα αβέβαια μελλοντικά γεγονότα</w:t>
      </w:r>
    </w:p>
    <w:p w14:paraId="5BA72BF3" w14:textId="77777777" w:rsidR="00032A9F" w:rsidRPr="00032A9F" w:rsidRDefault="00032A9F" w:rsidP="00032A9F">
      <w:pPr>
        <w:spacing w:line="360" w:lineRule="auto"/>
        <w:ind w:left="720"/>
        <w:rPr>
          <w:bCs/>
          <w:lang w:val="el-GR"/>
        </w:rPr>
      </w:pPr>
      <w:r w:rsidRPr="00032A9F">
        <w:rPr>
          <w:bCs/>
          <w:lang w:val="el-GR"/>
        </w:rPr>
        <w:t>- που δεν εμπίπτουν ολοκληρωτικά στον έλεγχο της οικονομικής οντότητας</w:t>
      </w:r>
    </w:p>
    <w:p w14:paraId="374DF433" w14:textId="77777777" w:rsidR="00032A9F" w:rsidRPr="00032A9F" w:rsidRDefault="00032A9F" w:rsidP="00032A9F">
      <w:pPr>
        <w:spacing w:line="360" w:lineRule="auto"/>
        <w:ind w:left="357"/>
        <w:rPr>
          <w:bCs/>
          <w:lang w:val="el-GR"/>
        </w:rPr>
      </w:pPr>
      <w:r w:rsidRPr="00032A9F">
        <w:rPr>
          <w:bCs/>
          <w:lang w:val="el-GR"/>
        </w:rPr>
        <w:t>Ή</w:t>
      </w:r>
    </w:p>
    <w:p w14:paraId="449E2A16" w14:textId="77777777" w:rsidR="00032A9F" w:rsidRPr="00032A9F" w:rsidRDefault="00032A9F" w:rsidP="00032A9F">
      <w:pPr>
        <w:spacing w:line="360" w:lineRule="auto"/>
        <w:ind w:left="357"/>
        <w:rPr>
          <w:bCs/>
          <w:lang w:val="el-GR"/>
        </w:rPr>
      </w:pPr>
      <w:r w:rsidRPr="00032A9F">
        <w:rPr>
          <w:bCs/>
          <w:lang w:val="el-GR"/>
        </w:rPr>
        <w:t>παρούσα δέσμευση από γεγονότα του παρελθόντος που δεν αναγνωρίζεται γιατί:</w:t>
      </w:r>
    </w:p>
    <w:p w14:paraId="02C15481" w14:textId="77777777" w:rsidR="00032A9F" w:rsidRPr="00032A9F" w:rsidRDefault="00032A9F" w:rsidP="00032A9F">
      <w:pPr>
        <w:spacing w:line="360" w:lineRule="auto"/>
        <w:ind w:left="720"/>
        <w:rPr>
          <w:bCs/>
          <w:lang w:val="el-GR"/>
        </w:rPr>
      </w:pPr>
      <w:r w:rsidRPr="00032A9F">
        <w:rPr>
          <w:bCs/>
          <w:lang w:val="el-GR"/>
        </w:rPr>
        <w:t>- είτε δεν είναι πιθανή μία εκροή πόρων που ενσωματώνουν οικονομικά οφέλη για τον διακανονισμό της</w:t>
      </w:r>
    </w:p>
    <w:p w14:paraId="4DD3896B" w14:textId="77777777" w:rsidR="00032A9F" w:rsidRPr="00032A9F" w:rsidRDefault="00032A9F" w:rsidP="00032A9F">
      <w:pPr>
        <w:spacing w:line="360" w:lineRule="auto"/>
        <w:ind w:left="720"/>
        <w:rPr>
          <w:bCs/>
          <w:lang w:val="el-GR"/>
        </w:rPr>
      </w:pPr>
      <w:r w:rsidRPr="00032A9F">
        <w:rPr>
          <w:bCs/>
          <w:lang w:val="el-GR"/>
        </w:rPr>
        <w:t>- είτε το ποσό της δέσμευσης δεν μπορεί να μετρηθεί αξιόπιστα</w:t>
      </w:r>
    </w:p>
    <w:p w14:paraId="474B9C53" w14:textId="77777777" w:rsidR="00032A9F" w:rsidRPr="00032A9F" w:rsidRDefault="00032A9F" w:rsidP="00032A9F">
      <w:pPr>
        <w:ind w:left="360"/>
        <w:rPr>
          <w:bCs/>
          <w:i/>
          <w:iCs/>
          <w:lang w:val="el-GR"/>
        </w:rPr>
      </w:pPr>
      <w:r w:rsidRPr="00032A9F">
        <w:rPr>
          <w:bCs/>
          <w:i/>
          <w:iCs/>
          <w:lang w:val="el-GR"/>
        </w:rPr>
        <w:t>Π.χ. ενδεχόμενη υποχρέωση από παροχή εγγύησης υπέρ τρίτου</w:t>
      </w:r>
    </w:p>
    <w:p w14:paraId="3AB8ED73" w14:textId="77777777" w:rsidR="00032A9F" w:rsidRPr="00032A9F" w:rsidRDefault="00032A9F" w:rsidP="00032A9F">
      <w:pPr>
        <w:ind w:left="360"/>
        <w:rPr>
          <w:bCs/>
          <w:lang w:val="el-GR"/>
        </w:rPr>
      </w:pPr>
    </w:p>
    <w:p w14:paraId="637A31B0" w14:textId="77777777" w:rsidR="00032A9F" w:rsidRPr="00032A9F" w:rsidRDefault="00032A9F" w:rsidP="00032A9F">
      <w:pPr>
        <w:rPr>
          <w:bCs/>
          <w:lang w:val="el-GR"/>
        </w:rPr>
      </w:pPr>
      <w:r w:rsidRPr="00032A9F">
        <w:rPr>
          <w:b/>
          <w:bCs/>
          <w:lang w:val="el-GR"/>
        </w:rPr>
        <w:t xml:space="preserve">Ενδεχόμενο στοιχείο του ενεργητικού (δεν </w:t>
      </w:r>
      <w:proofErr w:type="spellStart"/>
      <w:r w:rsidRPr="00032A9F">
        <w:rPr>
          <w:b/>
          <w:bCs/>
          <w:lang w:val="el-GR"/>
        </w:rPr>
        <w:t>λογιστικοποιείται</w:t>
      </w:r>
      <w:proofErr w:type="spellEnd"/>
      <w:r w:rsidRPr="00032A9F">
        <w:rPr>
          <w:b/>
          <w:bCs/>
          <w:lang w:val="el-GR"/>
        </w:rPr>
        <w:t>)</w:t>
      </w:r>
    </w:p>
    <w:p w14:paraId="61D10FC4" w14:textId="77777777" w:rsidR="00032A9F" w:rsidRPr="00032A9F" w:rsidRDefault="00032A9F" w:rsidP="00032A9F">
      <w:pPr>
        <w:ind w:left="360"/>
        <w:rPr>
          <w:bCs/>
          <w:lang w:val="el-GR"/>
        </w:rPr>
      </w:pPr>
      <w:r w:rsidRPr="00032A9F">
        <w:rPr>
          <w:bCs/>
          <w:lang w:val="el-GR"/>
        </w:rPr>
        <w:t>πιθανό στοιχείο του ενεργητικού</w:t>
      </w:r>
    </w:p>
    <w:p w14:paraId="2C56C272" w14:textId="77777777" w:rsidR="00032A9F" w:rsidRPr="00032A9F" w:rsidRDefault="00032A9F" w:rsidP="00032A9F">
      <w:pPr>
        <w:ind w:left="720"/>
        <w:rPr>
          <w:bCs/>
          <w:lang w:val="el-GR"/>
        </w:rPr>
      </w:pPr>
      <w:r w:rsidRPr="00032A9F">
        <w:rPr>
          <w:bCs/>
          <w:lang w:val="el-GR"/>
        </w:rPr>
        <w:t>- εξαρτάται από ένα ή περισσότερα αβέβαια μελλοντικά γεγονότα</w:t>
      </w:r>
    </w:p>
    <w:p w14:paraId="176E6D01" w14:textId="77777777" w:rsidR="00032A9F" w:rsidRPr="00032A9F" w:rsidRDefault="00032A9F" w:rsidP="00032A9F">
      <w:pPr>
        <w:ind w:left="720"/>
        <w:rPr>
          <w:bCs/>
          <w:lang w:val="el-GR"/>
        </w:rPr>
      </w:pPr>
      <w:r w:rsidRPr="00032A9F">
        <w:rPr>
          <w:bCs/>
          <w:lang w:val="el-GR"/>
        </w:rPr>
        <w:t>- που δεν εμπίπτουν ολοκληρωτικά στον έλεγχο της οικονομικής οντότητας</w:t>
      </w:r>
    </w:p>
    <w:p w14:paraId="02586DD3" w14:textId="77777777" w:rsidR="00032A9F" w:rsidRPr="00032A9F" w:rsidRDefault="00032A9F" w:rsidP="00032A9F">
      <w:pPr>
        <w:numPr>
          <w:ilvl w:val="0"/>
          <w:numId w:val="3"/>
        </w:numPr>
        <w:rPr>
          <w:bCs/>
          <w:lang w:val="el-GR"/>
        </w:rPr>
      </w:pPr>
      <w:r w:rsidRPr="00032A9F">
        <w:rPr>
          <w:bCs/>
          <w:i/>
          <w:iCs/>
          <w:lang w:val="el-GR"/>
        </w:rPr>
        <w:t>Π.χ. αγωγή κατά προμηθευτή για αποζημίωση επειδή μας παρέδωσε ελαττωματικά προϊόντα</w:t>
      </w:r>
    </w:p>
    <w:p w14:paraId="1579DC72" w14:textId="77777777" w:rsidR="00032A9F" w:rsidRPr="00032A9F" w:rsidRDefault="00032A9F" w:rsidP="00032A9F">
      <w:pPr>
        <w:ind w:left="360"/>
        <w:rPr>
          <w:bCs/>
          <w:lang w:val="el-GR"/>
        </w:rPr>
      </w:pPr>
    </w:p>
    <w:p w14:paraId="7F0ABC02"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ΑΕΡΟΠΟΡΙΑ ΑΙΓΑΙΟΥ</w:t>
      </w:r>
    </w:p>
    <w:p w14:paraId="59DB8B37"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ΑΠΟΣΠΑΣΜΑ ΑΠΟ ΤΙΣ ΕΞΑΜΗΝΙΑΙΕΣ ΚΑΤΑΣΤΑΣΕΙΣ ΤΗΣ 30/6/2012</w:t>
      </w:r>
    </w:p>
    <w:p w14:paraId="5678ABCC"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5.17 Προβλέψεις</w:t>
      </w:r>
    </w:p>
    <w:p w14:paraId="6E63A3BF"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(α) Ανέλεγκτες φορολογικά χρήσεις</w:t>
      </w:r>
    </w:p>
    <w:p w14:paraId="7F8DD324"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Cs/>
          <w:lang w:val="el-GR"/>
        </w:rPr>
        <w:t>Η Εταιρία δεν έχει ελεγχθεί φορολογικά για τις χρήσεις 2007 έως και 2010. Το σωρευμένο ποσό της πρόβλεψης για τις ανέλεγκτες φορολογικά χρήσεις της Εταιρίας ανέρχεται σε € 1.400 χιλ. Η χρήση 2011 ελέγχθηκε βάσει της ΠΟΛ 1159 από τους τακτικούς ελεγκτές, ομοίως θα ελεγχθεί και η χρήση 2012.</w:t>
      </w:r>
    </w:p>
    <w:p w14:paraId="7EE9F68C"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lastRenderedPageBreak/>
        <w:t>(β) Προβλέψεις συντήρησης αεροσκαφών</w:t>
      </w:r>
    </w:p>
    <w:p w14:paraId="70A45D68"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Cs/>
          <w:lang w:val="el-GR"/>
        </w:rPr>
        <w:t xml:space="preserve">Το σωρευτικό ποσό των προβλέψεων που διενήργησε η εταιρία για τη μελλοντική συντήρηση των αεροσκαφών στις 31/12/11 ανερχόταν στο ποσό των 30.383,42 </w:t>
      </w:r>
      <w:proofErr w:type="spellStart"/>
      <w:r w:rsidRPr="00032A9F">
        <w:rPr>
          <w:bCs/>
          <w:lang w:val="el-GR"/>
        </w:rPr>
        <w:t>χιλ</w:t>
      </w:r>
      <w:proofErr w:type="spellEnd"/>
      <w:r w:rsidRPr="00032A9F">
        <w:rPr>
          <w:bCs/>
          <w:lang w:val="el-GR"/>
        </w:rPr>
        <w:t xml:space="preserve"> ευρώ . Η καθαρή μεταβολή (αύξηση) της πρόβλεψης εντός του α εξαμήνου 2012 ανέρχεται στο ποσό των € 2.184,19 </w:t>
      </w:r>
      <w:proofErr w:type="spellStart"/>
      <w:r w:rsidRPr="00032A9F">
        <w:rPr>
          <w:bCs/>
          <w:lang w:val="el-GR"/>
        </w:rPr>
        <w:t>χιλ</w:t>
      </w:r>
      <w:proofErr w:type="spellEnd"/>
      <w:r w:rsidRPr="00032A9F">
        <w:rPr>
          <w:bCs/>
          <w:lang w:val="el-GR"/>
        </w:rPr>
        <w:t xml:space="preserve"> με αποτέλεσμα το ποσό της πρόβλεψης συντήρησης αεροσκαφών στις 30/06/2012 να ανέρχεται στο ποσό των € 32.567,61 χιλ.</w:t>
      </w:r>
    </w:p>
    <w:p w14:paraId="6CA0450E"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5.19 Λοιπές ενδεχόμενες υποχρεώσεις και ενδεχόμενα περιουσιακά στοιχεία</w:t>
      </w:r>
    </w:p>
    <w:p w14:paraId="5B86280A"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(α) Πληροφορίες σχετικά με επίδικες ή υπό διαιτησία διαφορές</w:t>
      </w:r>
    </w:p>
    <w:p w14:paraId="44BAEE82"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Cs/>
          <w:lang w:val="el-GR"/>
        </w:rPr>
        <w:t>Υπάρχουν διάφορες επίδικες ή υπό διαιτησία διαφορές δικαστικών ή διαιτητικών οργάνων και άλλα ενδεχόμενα γεγονότα τα οποία δεν έχουν μεταβληθεί σε σχέση με την 31/12/2011 και από τα οποία δεν αναμένεται να υπάρξει σημαντική επίπτωση στην οικονομική κατάσταση ή λειτουργία της εταιρίας. Για το λόγο αυτό η Εταιρία δεν έχει διενεργήσει πρόβλεψη για τις υποθέσεις αυτές.</w:t>
      </w:r>
    </w:p>
    <w:p w14:paraId="525CDA20"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(β) Πληροφορίες σχετικά με ενδεχόμενα περιουσιακά στοιχεία</w:t>
      </w:r>
    </w:p>
    <w:p w14:paraId="4F28E2DA"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Cs/>
          <w:lang w:val="el-GR"/>
        </w:rPr>
        <w:t>Υπάρχουν ενδεχόμενα περιουσιακά στοιχεία τα οποία δεν έχουν μεταβληθεί σε σχέση με την 31/12/2011 και από τα οποία δεν αναμένεται να υπάρξει επίπτωση στις οικονομικές καταστάσεις.</w:t>
      </w:r>
    </w:p>
    <w:p w14:paraId="6E93AE3E" w14:textId="77777777" w:rsidR="00032A9F" w:rsidRPr="00032A9F" w:rsidRDefault="00032A9F" w:rsidP="00032A9F">
      <w:pPr>
        <w:ind w:left="360"/>
        <w:rPr>
          <w:bCs/>
          <w:lang w:val="el-GR"/>
        </w:rPr>
      </w:pPr>
    </w:p>
    <w:p w14:paraId="329073B0"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ΠΛΑΙΣΙΟ ΚΟΜΠΙΟΥΤΕΡΣ Α.Ε.</w:t>
      </w:r>
    </w:p>
    <w:p w14:paraId="6AB307D1"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ΠΡΟΣΑΡΤΗΜΑ ΤΗΣ 31/12/2011</w:t>
      </w:r>
    </w:p>
    <w:p w14:paraId="713FD7CE"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
          <w:bCs/>
          <w:lang w:val="el-GR"/>
        </w:rPr>
        <w:t>9. Ολοκλήρωση τακτικού φορολογικού ελέγχου χρήσεων 2006, 2007 και 2008</w:t>
      </w:r>
    </w:p>
    <w:p w14:paraId="3946F5D8" w14:textId="77777777" w:rsidR="00032A9F" w:rsidRPr="00032A9F" w:rsidRDefault="00032A9F" w:rsidP="00032A9F">
      <w:pPr>
        <w:pBdr>
          <w:top w:val="single" w:sz="4" w:space="1" w:color="auto"/>
          <w:left w:val="single" w:sz="4" w:space="4" w:color="auto"/>
          <w:bottom w:val="single" w:sz="4" w:space="1" w:color="auto"/>
          <w:right w:val="single" w:sz="4" w:space="4" w:color="auto"/>
        </w:pBdr>
        <w:ind w:left="360"/>
        <w:rPr>
          <w:bCs/>
          <w:lang w:val="el-GR"/>
        </w:rPr>
      </w:pPr>
      <w:r w:rsidRPr="00032A9F">
        <w:rPr>
          <w:bCs/>
          <w:lang w:val="el-GR"/>
        </w:rPr>
        <w:t>Στις 27 Ιουλίου 2011 η Εταιρεία γνωστοποίησε στο επενδυτικό κοινό ότι ολοκληρώθηκε ο τακτικός φορολογικός έλεγχος των χρήσεων 2006, 2007 και 2008. Από τον φορολογικό έλεγχο προέκυψαν, για τις τρεις (3) προαναφερθείσες χρήσεις καταβλητέοι πρόσθετοι φόροι και προσαυξήσεις συνολικού ποσού 1.287 χιλ. Ευρώ, και με δεδομένο ότι είχαν σχηματισθεί προβλέψεις για τις ανωτέρω χρήσεις ύψους 844 χιλ. Ευρώ, η διαφορά ύψους 443 χιλ. Ευρώ επιβάρυνε τα αποτελέσματα του πρώτου εξαμήνου της χρήσεως 2011.</w:t>
      </w:r>
    </w:p>
    <w:p w14:paraId="72522A9E" w14:textId="77777777" w:rsidR="00032A9F" w:rsidRPr="00032A9F" w:rsidRDefault="00032A9F" w:rsidP="00032A9F">
      <w:pPr>
        <w:ind w:left="360"/>
        <w:rPr>
          <w:bCs/>
          <w:lang w:val="el-GR"/>
        </w:rPr>
      </w:pPr>
    </w:p>
    <w:p w14:paraId="5539F6B8" w14:textId="77777777" w:rsidR="00032A9F" w:rsidRPr="00032A9F" w:rsidRDefault="00032A9F" w:rsidP="00032A9F">
      <w:pPr>
        <w:ind w:left="360"/>
        <w:rPr>
          <w:bCs/>
          <w:lang w:val="el-GR"/>
        </w:rPr>
      </w:pPr>
    </w:p>
    <w:p w14:paraId="2BBACC7C" w14:textId="4E20DCA2" w:rsidR="00032A9F" w:rsidRPr="00032A9F" w:rsidRDefault="00032A9F" w:rsidP="00032A9F">
      <w:pPr>
        <w:rPr>
          <w:lang w:val="el-GR"/>
        </w:rPr>
      </w:pPr>
      <w:r w:rsidRPr="00032A9F">
        <w:rPr>
          <w:b/>
          <w:bCs/>
          <w:lang w:val="el-GR"/>
        </w:rPr>
        <w:t>Παράδειγμα 2</w:t>
      </w:r>
    </w:p>
    <w:p w14:paraId="38436A25" w14:textId="77777777" w:rsidR="00032A9F" w:rsidRPr="00032A9F" w:rsidRDefault="00032A9F" w:rsidP="00032A9F">
      <w:pPr>
        <w:ind w:firstLine="360"/>
        <w:rPr>
          <w:lang w:val="el-GR"/>
        </w:rPr>
      </w:pPr>
      <w:r w:rsidRPr="00032A9F">
        <w:rPr>
          <w:lang w:val="el-GR"/>
        </w:rPr>
        <w:t xml:space="preserve">Μία επιχείρηση εκτιμά ότι αν όλα τα </w:t>
      </w:r>
      <w:proofErr w:type="spellStart"/>
      <w:r w:rsidRPr="00032A9F">
        <w:rPr>
          <w:lang w:val="el-GR"/>
        </w:rPr>
        <w:t>πωληθέντα</w:t>
      </w:r>
      <w:proofErr w:type="spellEnd"/>
      <w:r w:rsidRPr="00032A9F">
        <w:rPr>
          <w:lang w:val="el-GR"/>
        </w:rPr>
        <w:t xml:space="preserve"> εμπορεύματά της παρουσιάσουν μικρά ελαττώματα το κόστος επισκευών που καλύπτεται από την εγγύηση θα ανέλθει σε 1.000 € ενώ αν όλα παρουσιάσουν σοβαρά ελαττώματα το κόστος επισκευών που καλύπτεται από την εγγύηση θα ανέλθει σε 4.000 €. Τα δεδομένα του παρελθόντος δείχνουν ότι 75% των </w:t>
      </w:r>
      <w:proofErr w:type="spellStart"/>
      <w:r w:rsidRPr="00032A9F">
        <w:rPr>
          <w:lang w:val="el-GR"/>
        </w:rPr>
        <w:t>πωληθέντων</w:t>
      </w:r>
      <w:proofErr w:type="spellEnd"/>
      <w:r w:rsidRPr="00032A9F">
        <w:rPr>
          <w:lang w:val="el-GR"/>
        </w:rPr>
        <w:t xml:space="preserve"> δεν θα παρουσιάσουν κανένα ελάττωμα, το 20% μικρά ελαττώματα και το 5% σοβαρά ελαττώματα. </w:t>
      </w:r>
    </w:p>
    <w:p w14:paraId="0D4BD0A8" w14:textId="77777777" w:rsidR="00032A9F" w:rsidRPr="00032A9F" w:rsidRDefault="00032A9F" w:rsidP="00032A9F">
      <w:pPr>
        <w:rPr>
          <w:lang w:val="el-GR"/>
        </w:rPr>
      </w:pPr>
      <w:r w:rsidRPr="00032A9F">
        <w:rPr>
          <w:lang w:val="el-GR"/>
        </w:rPr>
        <w:t>Υπολογίστε την πρόβλεψη για το κόστος επισκευών των πωλημένων.</w:t>
      </w:r>
    </w:p>
    <w:p w14:paraId="30906DE3" w14:textId="77777777" w:rsidR="00032A9F" w:rsidRPr="00032A9F" w:rsidRDefault="00032A9F" w:rsidP="00032A9F">
      <w:pPr>
        <w:rPr>
          <w:b/>
          <w:bCs/>
          <w:lang w:val="el-GR"/>
        </w:rPr>
      </w:pPr>
    </w:p>
    <w:p w14:paraId="2FD4616D" w14:textId="38ED305A" w:rsidR="00032A9F" w:rsidRPr="00032A9F" w:rsidRDefault="00032A9F" w:rsidP="00032A9F">
      <w:pPr>
        <w:rPr>
          <w:lang w:val="el-GR"/>
        </w:rPr>
      </w:pPr>
      <w:r w:rsidRPr="00032A9F">
        <w:rPr>
          <w:b/>
          <w:bCs/>
          <w:lang w:val="el-GR"/>
        </w:rPr>
        <w:t>Παράδειγμα 3</w:t>
      </w:r>
    </w:p>
    <w:p w14:paraId="01AA62C6" w14:textId="77777777" w:rsidR="00032A9F" w:rsidRPr="00032A9F" w:rsidRDefault="00032A9F" w:rsidP="00032A9F">
      <w:pPr>
        <w:rPr>
          <w:lang w:val="el-GR"/>
        </w:rPr>
      </w:pPr>
      <w:r w:rsidRPr="00032A9F">
        <w:rPr>
          <w:lang w:val="el-GR"/>
        </w:rPr>
        <w:t>Στις 15 Σεπτεμβρίου 20Χ0 ψηφίζεται νόμος που υποχρεώνει όλα τα εργοστάσια να εγκαταστήσουν φίλτρα συγκράτησης καταλοίπων μέχρι τις 30 Ιουνίου 20Χ1. Στις 31/12/20Χ1 η επιχείρηση δεν έχει εγκαταστήσει ακόμα τα φίλτρα. . Σε τι ενέργειες θα πρέπει να προβεί η διοίκηση της επιχείρησης;</w:t>
      </w:r>
    </w:p>
    <w:p w14:paraId="009C070C" w14:textId="77777777" w:rsidR="00032A9F" w:rsidRPr="00032A9F" w:rsidRDefault="00032A9F" w:rsidP="00032A9F">
      <w:pPr>
        <w:rPr>
          <w:b/>
          <w:bCs/>
          <w:lang w:val="el-GR"/>
        </w:rPr>
      </w:pPr>
    </w:p>
    <w:p w14:paraId="7CC704EA" w14:textId="7B0488BB" w:rsidR="00032A9F" w:rsidRPr="004D0CA4" w:rsidRDefault="00032A9F" w:rsidP="00032A9F">
      <w:pPr>
        <w:rPr>
          <w:lang w:val="el-GR"/>
        </w:rPr>
      </w:pPr>
      <w:r w:rsidRPr="00032A9F">
        <w:rPr>
          <w:b/>
          <w:bCs/>
          <w:lang w:val="el-GR"/>
        </w:rPr>
        <w:t xml:space="preserve">Παράδειγμα </w:t>
      </w:r>
      <w:r w:rsidRPr="004D0CA4">
        <w:rPr>
          <w:b/>
          <w:bCs/>
          <w:lang w:val="el-GR"/>
        </w:rPr>
        <w:t>4</w:t>
      </w:r>
    </w:p>
    <w:p w14:paraId="7A1486A0" w14:textId="77777777" w:rsidR="00032A9F" w:rsidRPr="00032A9F" w:rsidRDefault="00032A9F" w:rsidP="00032A9F">
      <w:pPr>
        <w:rPr>
          <w:lang w:val="el-GR"/>
        </w:rPr>
      </w:pPr>
      <w:r w:rsidRPr="00032A9F">
        <w:rPr>
          <w:lang w:val="el-GR"/>
        </w:rPr>
        <w:t xml:space="preserve">Μία επιχείρηση χρησιμοποιεί ένα μισθωμένο εργοστάσιο. Τον Δεκέμβριο του 20Χ0 μεταφέρει όλη της τη δραστηριότητα σε νέο ιδιόκτητο εργοστάσιο. Το μισθωμένο εργοστάσιο εγκαταλείπεται αλλά η επιχείρηση υποχρεούται να πληρώνει, βάση </w:t>
      </w:r>
      <w:r w:rsidRPr="00032A9F">
        <w:rPr>
          <w:lang w:val="el-GR"/>
        </w:rPr>
        <w:lastRenderedPageBreak/>
        <w:t xml:space="preserve">σύμβασης, το ενοίκιο για δύο ακόμα χρόνια χωρίς να έχει τη δυνατότητα να το </w:t>
      </w:r>
      <w:proofErr w:type="spellStart"/>
      <w:r w:rsidRPr="00032A9F">
        <w:rPr>
          <w:lang w:val="el-GR"/>
        </w:rPr>
        <w:t>επινοικιάσει</w:t>
      </w:r>
      <w:proofErr w:type="spellEnd"/>
      <w:r w:rsidRPr="00032A9F">
        <w:rPr>
          <w:lang w:val="el-GR"/>
        </w:rPr>
        <w:t>. Σε τι ενέργειες θα πρέπει να προβεί η διοίκηση της επιχείρησης;</w:t>
      </w:r>
    </w:p>
    <w:p w14:paraId="007D9E71" w14:textId="77777777" w:rsidR="00032A9F" w:rsidRPr="00032A9F" w:rsidRDefault="00032A9F" w:rsidP="00032A9F">
      <w:pPr>
        <w:rPr>
          <w:lang w:val="el-GR"/>
        </w:rPr>
      </w:pPr>
    </w:p>
    <w:p w14:paraId="6E340155" w14:textId="77300252" w:rsidR="00032A9F" w:rsidRPr="004D0CA4" w:rsidRDefault="00032A9F" w:rsidP="00032A9F">
      <w:pPr>
        <w:rPr>
          <w:lang w:val="el-GR"/>
        </w:rPr>
      </w:pPr>
      <w:r w:rsidRPr="00032A9F">
        <w:rPr>
          <w:b/>
          <w:bCs/>
          <w:lang w:val="el-GR"/>
        </w:rPr>
        <w:t xml:space="preserve">Παράδειγμα </w:t>
      </w:r>
      <w:r w:rsidRPr="004D0CA4">
        <w:rPr>
          <w:b/>
          <w:bCs/>
          <w:lang w:val="el-GR"/>
        </w:rPr>
        <w:t>5</w:t>
      </w:r>
    </w:p>
    <w:p w14:paraId="5C240121" w14:textId="77777777" w:rsidR="00032A9F" w:rsidRPr="00032A9F" w:rsidRDefault="00032A9F" w:rsidP="00032A9F">
      <w:pPr>
        <w:rPr>
          <w:lang w:val="el-GR"/>
        </w:rPr>
      </w:pPr>
      <w:r w:rsidRPr="00032A9F">
        <w:rPr>
          <w:lang w:val="el-GR"/>
        </w:rPr>
        <w:t>Η επιχείρηση Α υπογράφει ως εγγυητής των δανείων της επιχείρησης Β στη χρήση 20Χ0. Στη χρήση 20Χ1 διαπιστώνεται ότι η χρηματοοικονομική κατάσταση της Β είναι δραματική και η Β έχει υποβάλει αίτηση πτώχευσης.</w:t>
      </w:r>
    </w:p>
    <w:p w14:paraId="04F4BE5A" w14:textId="77777777" w:rsidR="00032A9F" w:rsidRDefault="00032A9F" w:rsidP="00555B39">
      <w:pPr>
        <w:ind w:firstLine="720"/>
        <w:jc w:val="both"/>
        <w:rPr>
          <w:lang w:val="el-GR"/>
        </w:rPr>
      </w:pPr>
    </w:p>
    <w:p w14:paraId="56712B29" w14:textId="77777777" w:rsidR="00B33E48" w:rsidRDefault="00B33E48" w:rsidP="00B33E48">
      <w:pPr>
        <w:ind w:left="360"/>
        <w:rPr>
          <w:bCs/>
          <w:i/>
          <w:iCs/>
          <w:szCs w:val="24"/>
          <w:lang w:val="el-GR"/>
        </w:rPr>
      </w:pPr>
    </w:p>
    <w:p w14:paraId="6AAFA7A3" w14:textId="59BE764E" w:rsidR="00341533" w:rsidRPr="009678E4" w:rsidRDefault="00341533" w:rsidP="009678E4">
      <w:pPr>
        <w:spacing w:before="120" w:after="120"/>
        <w:jc w:val="both"/>
        <w:rPr>
          <w:b/>
          <w:bCs/>
          <w:szCs w:val="24"/>
          <w:lang w:val="el-GR"/>
        </w:rPr>
      </w:pPr>
      <w:r w:rsidRPr="009678E4">
        <w:rPr>
          <w:b/>
          <w:bCs/>
          <w:szCs w:val="24"/>
          <w:lang w:val="el-GR"/>
        </w:rPr>
        <w:t>Χρηματοδοτική Μίσθωση -ΕΛΠ</w:t>
      </w:r>
    </w:p>
    <w:p w14:paraId="6FBF1412" w14:textId="77777777" w:rsidR="00341533" w:rsidRPr="009678E4" w:rsidRDefault="00341533" w:rsidP="009678E4">
      <w:pPr>
        <w:numPr>
          <w:ilvl w:val="0"/>
          <w:numId w:val="5"/>
        </w:numPr>
        <w:tabs>
          <w:tab w:val="left" w:pos="426"/>
        </w:tabs>
        <w:spacing w:before="120" w:after="120"/>
        <w:jc w:val="both"/>
        <w:rPr>
          <w:szCs w:val="24"/>
          <w:lang w:val="el-GR"/>
        </w:rPr>
      </w:pPr>
      <w:r w:rsidRPr="009678E4">
        <w:rPr>
          <w:b/>
          <w:bCs/>
          <w:szCs w:val="24"/>
          <w:lang w:val="el-GR"/>
        </w:rPr>
        <w:t>Μίσθωση</w:t>
      </w:r>
      <w:r w:rsidRPr="009678E4">
        <w:rPr>
          <w:szCs w:val="24"/>
          <w:lang w:val="el-GR"/>
        </w:rPr>
        <w:t xml:space="preserve"> (</w:t>
      </w:r>
      <w:proofErr w:type="spellStart"/>
      <w:r w:rsidRPr="009678E4">
        <w:rPr>
          <w:szCs w:val="24"/>
          <w:lang w:val="el-GR"/>
        </w:rPr>
        <w:t>leasing</w:t>
      </w:r>
      <w:proofErr w:type="spellEnd"/>
      <w:r w:rsidRPr="009678E4">
        <w:rPr>
          <w:szCs w:val="24"/>
          <w:lang w:val="el-GR"/>
        </w:rPr>
        <w:t xml:space="preserve">) είναι η συμφωνία κατά την οποία το ένα συμβαλλόμενο μέρος (εκμισθωτής) παραδίδει στο άλλο συμβαλλόμενο μέρος (μισθωτής) έναντι ενοικίου τη χρήση ενός πάγιου ενεργητικού στοιχείου (ιδιοκτησίας του εκμισθωτή) για μια προκαθορισμένη χρονική περίοδο. </w:t>
      </w:r>
    </w:p>
    <w:p w14:paraId="1071DA0C" w14:textId="77777777" w:rsidR="00341533" w:rsidRPr="009678E4" w:rsidRDefault="00341533" w:rsidP="009678E4">
      <w:pPr>
        <w:numPr>
          <w:ilvl w:val="0"/>
          <w:numId w:val="5"/>
        </w:numPr>
        <w:tabs>
          <w:tab w:val="left" w:pos="426"/>
        </w:tabs>
        <w:spacing w:before="120" w:after="120"/>
        <w:jc w:val="both"/>
        <w:rPr>
          <w:szCs w:val="24"/>
          <w:lang w:val="el-GR"/>
        </w:rPr>
      </w:pPr>
      <w:r w:rsidRPr="009678E4">
        <w:rPr>
          <w:b/>
          <w:szCs w:val="24"/>
          <w:lang w:val="el-GR"/>
        </w:rPr>
        <w:t>Χρηματοδοτική μίσθωση</w:t>
      </w:r>
      <w:r w:rsidRPr="009678E4">
        <w:rPr>
          <w:szCs w:val="24"/>
          <w:lang w:val="el-GR"/>
        </w:rPr>
        <w:t xml:space="preserve"> (</w:t>
      </w:r>
      <w:proofErr w:type="spellStart"/>
      <w:r w:rsidRPr="009678E4">
        <w:rPr>
          <w:szCs w:val="24"/>
          <w:lang w:val="el-GR"/>
        </w:rPr>
        <w:t>financial</w:t>
      </w:r>
      <w:proofErr w:type="spellEnd"/>
      <w:r w:rsidRPr="009678E4">
        <w:rPr>
          <w:szCs w:val="24"/>
          <w:lang w:val="el-GR"/>
        </w:rPr>
        <w:t xml:space="preserve"> </w:t>
      </w:r>
      <w:proofErr w:type="spellStart"/>
      <w:r w:rsidRPr="009678E4">
        <w:rPr>
          <w:szCs w:val="24"/>
          <w:lang w:val="el-GR"/>
        </w:rPr>
        <w:t>lease</w:t>
      </w:r>
      <w:proofErr w:type="spellEnd"/>
      <w:r w:rsidRPr="009678E4">
        <w:rPr>
          <w:szCs w:val="24"/>
          <w:lang w:val="el-GR"/>
        </w:rPr>
        <w:t>)είναι η συμφωνία κατά την οποία ο εκμισθωτής  μεταβιβάζει στον μισθωτή τη χρήση του παγίου στοιχείου μαζί με όλα τα συνήθη δικαιώματα και κινδύνους του ιδιοκτήτη. Συνήθως, αναλαμβάνει και την υποχρέωση να μεταβιβάσει την κυριότητα του παγίου στον μισθωτή, με τη λήξη της σύμβασης έναντι ενός συμβολικού ποσού (ή και δωρεάν).</w:t>
      </w:r>
    </w:p>
    <w:p w14:paraId="7AC6BA39" w14:textId="77777777" w:rsidR="00341533" w:rsidRPr="009678E4" w:rsidRDefault="00341533" w:rsidP="009678E4">
      <w:pPr>
        <w:numPr>
          <w:ilvl w:val="0"/>
          <w:numId w:val="5"/>
        </w:numPr>
        <w:tabs>
          <w:tab w:val="left" w:pos="426"/>
        </w:tabs>
        <w:spacing w:before="120" w:after="120"/>
        <w:jc w:val="both"/>
        <w:rPr>
          <w:szCs w:val="24"/>
          <w:lang w:val="el-GR"/>
        </w:rPr>
      </w:pPr>
      <w:r w:rsidRPr="009678E4">
        <w:rPr>
          <w:b/>
          <w:szCs w:val="24"/>
          <w:lang w:val="el-GR"/>
        </w:rPr>
        <w:t>Λειτουργική μίσθωση</w:t>
      </w:r>
      <w:r w:rsidRPr="009678E4">
        <w:rPr>
          <w:szCs w:val="24"/>
          <w:lang w:val="el-GR"/>
        </w:rPr>
        <w:t xml:space="preserve"> (</w:t>
      </w:r>
      <w:proofErr w:type="spellStart"/>
      <w:r w:rsidRPr="009678E4">
        <w:rPr>
          <w:szCs w:val="24"/>
          <w:lang w:val="el-GR"/>
        </w:rPr>
        <w:t>operating</w:t>
      </w:r>
      <w:proofErr w:type="spellEnd"/>
      <w:r w:rsidRPr="009678E4">
        <w:rPr>
          <w:szCs w:val="24"/>
          <w:lang w:val="el-GR"/>
        </w:rPr>
        <w:t xml:space="preserve"> </w:t>
      </w:r>
      <w:proofErr w:type="spellStart"/>
      <w:r w:rsidRPr="009678E4">
        <w:rPr>
          <w:szCs w:val="24"/>
          <w:lang w:val="el-GR"/>
        </w:rPr>
        <w:t>lease</w:t>
      </w:r>
      <w:proofErr w:type="spellEnd"/>
      <w:r w:rsidRPr="009678E4">
        <w:rPr>
          <w:szCs w:val="24"/>
          <w:lang w:val="el-GR"/>
        </w:rPr>
        <w:t>) είναι μία μίσθωση που δεν είναι χρηματοοικονομική μίσθωση</w:t>
      </w:r>
    </w:p>
    <w:p w14:paraId="34E321EE" w14:textId="77777777" w:rsidR="00341533" w:rsidRPr="009678E4" w:rsidRDefault="00341533" w:rsidP="009678E4">
      <w:pPr>
        <w:tabs>
          <w:tab w:val="left" w:pos="426"/>
        </w:tabs>
        <w:spacing w:before="120" w:after="120"/>
        <w:jc w:val="both"/>
        <w:rPr>
          <w:i/>
          <w:szCs w:val="24"/>
          <w:lang w:val="el-GR"/>
        </w:rPr>
      </w:pPr>
      <w:r w:rsidRPr="009678E4">
        <w:rPr>
          <w:i/>
          <w:szCs w:val="24"/>
          <w:lang w:val="el-GR"/>
        </w:rPr>
        <w:tab/>
        <w:t xml:space="preserve">Για τον χαρακτηρισμό της μίσθωσης  θα πρέπει να εξετάζεται η ουσία της σύμβασης και όχι ο νομικός της τύπος. </w:t>
      </w:r>
    </w:p>
    <w:p w14:paraId="08997FCE" w14:textId="77777777" w:rsidR="00341533" w:rsidRPr="009678E4" w:rsidRDefault="00341533" w:rsidP="009678E4">
      <w:pPr>
        <w:tabs>
          <w:tab w:val="left" w:pos="426"/>
        </w:tabs>
        <w:spacing w:before="120" w:after="120"/>
        <w:jc w:val="both"/>
        <w:rPr>
          <w:i/>
          <w:szCs w:val="24"/>
          <w:lang w:val="el-GR"/>
        </w:rPr>
      </w:pPr>
      <w:r w:rsidRPr="009678E4">
        <w:rPr>
          <w:i/>
          <w:szCs w:val="24"/>
          <w:lang w:val="el-GR"/>
        </w:rPr>
        <w:tab/>
        <w:t>Η αξιολόγηση γίνεται στην έναρξη της σύμβασης</w:t>
      </w:r>
    </w:p>
    <w:p w14:paraId="03C8BB3C" w14:textId="77777777" w:rsidR="00341533" w:rsidRPr="009678E4" w:rsidRDefault="00341533" w:rsidP="009678E4">
      <w:pPr>
        <w:autoSpaceDE w:val="0"/>
        <w:autoSpaceDN w:val="0"/>
        <w:adjustRightInd w:val="0"/>
        <w:spacing w:line="360" w:lineRule="auto"/>
        <w:jc w:val="both"/>
        <w:rPr>
          <w:b/>
          <w:szCs w:val="24"/>
          <w:lang w:val="el-GR"/>
        </w:rPr>
      </w:pPr>
    </w:p>
    <w:p w14:paraId="5AB1A60C" w14:textId="77777777" w:rsidR="00341533" w:rsidRPr="009678E4" w:rsidRDefault="00341533" w:rsidP="009678E4">
      <w:pPr>
        <w:autoSpaceDE w:val="0"/>
        <w:autoSpaceDN w:val="0"/>
        <w:adjustRightInd w:val="0"/>
        <w:spacing w:line="360" w:lineRule="auto"/>
        <w:jc w:val="both"/>
        <w:rPr>
          <w:b/>
          <w:szCs w:val="24"/>
          <w:lang w:val="el-GR"/>
        </w:rPr>
      </w:pPr>
      <w:r w:rsidRPr="009678E4">
        <w:rPr>
          <w:b/>
          <w:szCs w:val="24"/>
          <w:lang w:val="el-GR"/>
        </w:rPr>
        <w:t>ΕΛΠ - Κριτήρια Χαρακτηρισμού Χρηματοοικονομικής Μίσθωσης</w:t>
      </w:r>
    </w:p>
    <w:tbl>
      <w:tblPr>
        <w:tblStyle w:val="aa"/>
        <w:tblW w:w="9357" w:type="dxa"/>
        <w:tblInd w:w="-318" w:type="dxa"/>
        <w:tblLayout w:type="fixed"/>
        <w:tblLook w:val="04A0" w:firstRow="1" w:lastRow="0" w:firstColumn="1" w:lastColumn="0" w:noHBand="0" w:noVBand="1"/>
      </w:tblPr>
      <w:tblGrid>
        <w:gridCol w:w="710"/>
        <w:gridCol w:w="8647"/>
      </w:tblGrid>
      <w:tr w:rsidR="00341533" w:rsidRPr="009678E4" w14:paraId="274135D4" w14:textId="77777777" w:rsidTr="00131BDD">
        <w:tc>
          <w:tcPr>
            <w:tcW w:w="710" w:type="dxa"/>
          </w:tcPr>
          <w:p w14:paraId="6C3C062E" w14:textId="77777777" w:rsidR="00341533" w:rsidRPr="009678E4" w:rsidRDefault="00341533" w:rsidP="009678E4">
            <w:pPr>
              <w:jc w:val="both"/>
              <w:rPr>
                <w:b/>
                <w:szCs w:val="24"/>
              </w:rPr>
            </w:pPr>
            <w:r w:rsidRPr="009678E4">
              <w:rPr>
                <w:b/>
                <w:szCs w:val="24"/>
              </w:rPr>
              <w:t>α/α</w:t>
            </w:r>
          </w:p>
        </w:tc>
        <w:tc>
          <w:tcPr>
            <w:tcW w:w="8647" w:type="dxa"/>
          </w:tcPr>
          <w:p w14:paraId="55C5FB29" w14:textId="77777777" w:rsidR="00341533" w:rsidRPr="009678E4" w:rsidRDefault="00341533" w:rsidP="009678E4">
            <w:pPr>
              <w:jc w:val="both"/>
              <w:rPr>
                <w:b/>
                <w:szCs w:val="24"/>
              </w:rPr>
            </w:pPr>
            <w:proofErr w:type="spellStart"/>
            <w:r w:rsidRPr="009678E4">
              <w:rPr>
                <w:b/>
                <w:szCs w:val="24"/>
              </w:rPr>
              <w:t>Κριτήρι</w:t>
            </w:r>
            <w:proofErr w:type="spellEnd"/>
            <w:r w:rsidRPr="009678E4">
              <w:rPr>
                <w:b/>
                <w:szCs w:val="24"/>
              </w:rPr>
              <w:t>α Χαρα</w:t>
            </w:r>
            <w:proofErr w:type="spellStart"/>
            <w:r w:rsidRPr="009678E4">
              <w:rPr>
                <w:b/>
                <w:szCs w:val="24"/>
              </w:rPr>
              <w:t>κτηρισμού</w:t>
            </w:r>
            <w:proofErr w:type="spellEnd"/>
            <w:r w:rsidRPr="009678E4">
              <w:rPr>
                <w:b/>
                <w:szCs w:val="24"/>
              </w:rPr>
              <w:t xml:space="preserve"> </w:t>
            </w:r>
            <w:proofErr w:type="spellStart"/>
            <w:r w:rsidRPr="009678E4">
              <w:rPr>
                <w:b/>
                <w:szCs w:val="24"/>
              </w:rPr>
              <w:t>Χρημ</w:t>
            </w:r>
            <w:proofErr w:type="spellEnd"/>
            <w:r w:rsidRPr="009678E4">
              <w:rPr>
                <w:b/>
                <w:szCs w:val="24"/>
              </w:rPr>
              <w:t xml:space="preserve">ατοοικονομικής </w:t>
            </w:r>
            <w:proofErr w:type="spellStart"/>
            <w:r w:rsidRPr="009678E4">
              <w:rPr>
                <w:b/>
                <w:szCs w:val="24"/>
              </w:rPr>
              <w:t>Μίσθωσης</w:t>
            </w:r>
            <w:proofErr w:type="spellEnd"/>
          </w:p>
        </w:tc>
      </w:tr>
      <w:tr w:rsidR="00341533" w:rsidRPr="00872C66" w14:paraId="6C53D62B" w14:textId="77777777" w:rsidTr="00131BDD">
        <w:tc>
          <w:tcPr>
            <w:tcW w:w="710" w:type="dxa"/>
          </w:tcPr>
          <w:p w14:paraId="0BBAC901" w14:textId="77777777" w:rsidR="00341533" w:rsidRPr="009678E4" w:rsidRDefault="00341533" w:rsidP="009678E4">
            <w:pPr>
              <w:jc w:val="both"/>
              <w:rPr>
                <w:szCs w:val="24"/>
              </w:rPr>
            </w:pPr>
            <w:r w:rsidRPr="009678E4">
              <w:rPr>
                <w:szCs w:val="24"/>
              </w:rPr>
              <w:t>1.</w:t>
            </w:r>
          </w:p>
        </w:tc>
        <w:tc>
          <w:tcPr>
            <w:tcW w:w="8647" w:type="dxa"/>
          </w:tcPr>
          <w:p w14:paraId="17BDEDAD" w14:textId="77777777" w:rsidR="00341533" w:rsidRPr="009678E4" w:rsidRDefault="00341533" w:rsidP="009678E4">
            <w:pPr>
              <w:jc w:val="both"/>
              <w:rPr>
                <w:szCs w:val="24"/>
                <w:lang w:val="el-GR"/>
              </w:rPr>
            </w:pPr>
            <w:r w:rsidRPr="009678E4">
              <w:rPr>
                <w:rFonts w:eastAsia="MgHelveticaUCPol"/>
                <w:szCs w:val="24"/>
                <w:lang w:val="el-GR"/>
              </w:rPr>
              <w:t>Η κυριότητα του περιουσιακού στοιχείου περιέρχεται στον μισθωτή με τη λήξη του χρόνου της μίσθωσης</w:t>
            </w:r>
          </w:p>
        </w:tc>
      </w:tr>
      <w:tr w:rsidR="00341533" w:rsidRPr="00872C66" w14:paraId="75C93027" w14:textId="77777777" w:rsidTr="00131BDD">
        <w:tc>
          <w:tcPr>
            <w:tcW w:w="710" w:type="dxa"/>
          </w:tcPr>
          <w:p w14:paraId="674C2508" w14:textId="77777777" w:rsidR="00341533" w:rsidRPr="009678E4" w:rsidRDefault="00341533" w:rsidP="009678E4">
            <w:pPr>
              <w:jc w:val="both"/>
              <w:rPr>
                <w:szCs w:val="24"/>
              </w:rPr>
            </w:pPr>
            <w:r w:rsidRPr="009678E4">
              <w:rPr>
                <w:szCs w:val="24"/>
              </w:rPr>
              <w:t>2.</w:t>
            </w:r>
          </w:p>
        </w:tc>
        <w:tc>
          <w:tcPr>
            <w:tcW w:w="8647" w:type="dxa"/>
          </w:tcPr>
          <w:p w14:paraId="6F359605" w14:textId="77777777" w:rsidR="00341533" w:rsidRPr="009678E4" w:rsidRDefault="00341533" w:rsidP="009678E4">
            <w:pPr>
              <w:jc w:val="both"/>
              <w:rPr>
                <w:szCs w:val="24"/>
                <w:lang w:val="el-GR"/>
              </w:rPr>
            </w:pPr>
            <w:r w:rsidRPr="009678E4">
              <w:rPr>
                <w:rFonts w:eastAsia="MgHelveticaUCPol"/>
                <w:szCs w:val="24"/>
                <w:lang w:val="el-GR"/>
              </w:rPr>
              <w:t>Η σύμβαση της μίσθωσης περιλαμβάνει όρο συμφέρουσας προσφοράς για την εξαγορά του εξοπλισμού σε τιμή κατώτερη της αγοραίας αξίας</w:t>
            </w:r>
          </w:p>
        </w:tc>
      </w:tr>
      <w:tr w:rsidR="00341533" w:rsidRPr="00872C66" w14:paraId="301817D7" w14:textId="77777777" w:rsidTr="00131BDD">
        <w:tc>
          <w:tcPr>
            <w:tcW w:w="710" w:type="dxa"/>
          </w:tcPr>
          <w:p w14:paraId="42494F90" w14:textId="77777777" w:rsidR="00341533" w:rsidRPr="009678E4" w:rsidRDefault="00341533" w:rsidP="009678E4">
            <w:pPr>
              <w:jc w:val="both"/>
              <w:rPr>
                <w:rFonts w:eastAsia="MgHelveticaUCPol"/>
                <w:szCs w:val="24"/>
                <w:lang w:val="el-GR"/>
              </w:rPr>
            </w:pPr>
            <w:r w:rsidRPr="009678E4">
              <w:rPr>
                <w:rFonts w:eastAsia="MgHelveticaUCPol"/>
                <w:szCs w:val="24"/>
                <w:lang w:val="el-GR"/>
              </w:rPr>
              <w:t>3.</w:t>
            </w:r>
          </w:p>
        </w:tc>
        <w:tc>
          <w:tcPr>
            <w:tcW w:w="8647" w:type="dxa"/>
          </w:tcPr>
          <w:p w14:paraId="117E29D9" w14:textId="77777777" w:rsidR="00341533" w:rsidRPr="009678E4" w:rsidRDefault="00341533" w:rsidP="009678E4">
            <w:pPr>
              <w:jc w:val="both"/>
              <w:rPr>
                <w:rFonts w:eastAsia="MgHelveticaUCPol"/>
                <w:szCs w:val="24"/>
                <w:lang w:val="el-GR"/>
              </w:rPr>
            </w:pPr>
            <w:r w:rsidRPr="009678E4">
              <w:rPr>
                <w:szCs w:val="24"/>
                <w:lang w:val="el-GR"/>
              </w:rPr>
              <w:t>Η διάρκεια της μίσθωσης εκτείνεται στο μεγαλύτερο μέρος της οικονομικής ζωής του περιουσιακού στοιχείου, έστω και αν ο τίτλος κυριότητας δε μεταβιβάζεται.</w:t>
            </w:r>
          </w:p>
        </w:tc>
      </w:tr>
      <w:tr w:rsidR="00341533" w:rsidRPr="00872C66" w14:paraId="08E5A758" w14:textId="77777777" w:rsidTr="00131BDD">
        <w:tc>
          <w:tcPr>
            <w:tcW w:w="710" w:type="dxa"/>
          </w:tcPr>
          <w:p w14:paraId="27575AD0" w14:textId="77777777" w:rsidR="00341533" w:rsidRPr="009678E4" w:rsidRDefault="00341533" w:rsidP="009678E4">
            <w:pPr>
              <w:jc w:val="both"/>
              <w:rPr>
                <w:rFonts w:eastAsia="MgHelveticaUCPol"/>
                <w:szCs w:val="24"/>
                <w:lang w:val="el-GR"/>
              </w:rPr>
            </w:pPr>
            <w:r w:rsidRPr="009678E4">
              <w:rPr>
                <w:rFonts w:eastAsia="MgHelveticaUCPol"/>
                <w:szCs w:val="24"/>
                <w:lang w:val="el-GR"/>
              </w:rPr>
              <w:t>4.</w:t>
            </w:r>
          </w:p>
        </w:tc>
        <w:tc>
          <w:tcPr>
            <w:tcW w:w="8647" w:type="dxa"/>
          </w:tcPr>
          <w:p w14:paraId="5D43B0E2" w14:textId="77777777" w:rsidR="00341533" w:rsidRPr="009678E4" w:rsidRDefault="00341533" w:rsidP="009678E4">
            <w:pPr>
              <w:jc w:val="both"/>
              <w:rPr>
                <w:rFonts w:eastAsia="MgHelveticaUCPol"/>
                <w:szCs w:val="24"/>
                <w:lang w:val="el-GR"/>
              </w:rPr>
            </w:pPr>
            <w:r w:rsidRPr="009678E4">
              <w:rPr>
                <w:szCs w:val="24"/>
                <w:lang w:val="el-GR"/>
              </w:rPr>
              <w:t>Κατά την έναρξη της μίσθωσης, η παρούσα αξία των ελάχιστων καταβολών μισθωμάτων, στα οποία δεν λαμβάνεται υπόψη το κόστος τυχόν προσφερόμενων υπηρεσιών στη διάρκεια της μίσθωσης, καλύπτει ουσιωδώς το σύνολο της εύλογης αξίας του μισθωμένου περιουσιακού στοιχείου.</w:t>
            </w:r>
          </w:p>
        </w:tc>
      </w:tr>
      <w:tr w:rsidR="00341533" w:rsidRPr="00872C66" w14:paraId="0B1E49C3" w14:textId="77777777" w:rsidTr="00131BDD">
        <w:tc>
          <w:tcPr>
            <w:tcW w:w="710" w:type="dxa"/>
          </w:tcPr>
          <w:p w14:paraId="6D519B41" w14:textId="77777777" w:rsidR="00341533" w:rsidRPr="009678E4" w:rsidRDefault="00341533" w:rsidP="009678E4">
            <w:pPr>
              <w:jc w:val="both"/>
              <w:rPr>
                <w:szCs w:val="24"/>
                <w:lang w:val="el-GR"/>
              </w:rPr>
            </w:pPr>
            <w:r w:rsidRPr="009678E4">
              <w:rPr>
                <w:szCs w:val="24"/>
              </w:rPr>
              <w:t>5</w:t>
            </w:r>
            <w:r w:rsidRPr="009678E4">
              <w:rPr>
                <w:szCs w:val="24"/>
                <w:lang w:val="el-GR"/>
              </w:rPr>
              <w:t>.</w:t>
            </w:r>
          </w:p>
        </w:tc>
        <w:tc>
          <w:tcPr>
            <w:tcW w:w="8647" w:type="dxa"/>
          </w:tcPr>
          <w:p w14:paraId="6EBE06F8" w14:textId="77777777" w:rsidR="00341533" w:rsidRPr="009678E4" w:rsidRDefault="00341533" w:rsidP="009678E4">
            <w:pPr>
              <w:autoSpaceDE w:val="0"/>
              <w:autoSpaceDN w:val="0"/>
              <w:adjustRightInd w:val="0"/>
              <w:jc w:val="both"/>
              <w:rPr>
                <w:szCs w:val="24"/>
                <w:lang w:val="el-GR"/>
              </w:rPr>
            </w:pPr>
            <w:r w:rsidRPr="009678E4">
              <w:rPr>
                <w:rFonts w:eastAsia="MgHelveticaUCPol"/>
                <w:szCs w:val="24"/>
                <w:lang w:val="el-GR"/>
              </w:rPr>
              <w:t>Τα περιουσιακά στοιχεία που εκμισθώνονται είναι τέτοιας ειδικής φύσης που μόνον ο μισθωτής δύναται να τα μεταχειριστεί δίχως να προβεί σε σημαντικές αλλοιώσεις</w:t>
            </w:r>
          </w:p>
        </w:tc>
      </w:tr>
    </w:tbl>
    <w:p w14:paraId="24008673" w14:textId="77777777" w:rsidR="00341533" w:rsidRPr="009678E4" w:rsidRDefault="00341533" w:rsidP="009678E4">
      <w:pPr>
        <w:tabs>
          <w:tab w:val="left" w:pos="426"/>
        </w:tabs>
        <w:spacing w:before="120" w:after="120"/>
        <w:ind w:left="360"/>
        <w:jc w:val="both"/>
        <w:rPr>
          <w:szCs w:val="24"/>
          <w:lang w:val="el-GR"/>
        </w:rPr>
      </w:pPr>
    </w:p>
    <w:p w14:paraId="43329DA1" w14:textId="77777777" w:rsidR="00341533" w:rsidRPr="009678E4" w:rsidRDefault="00341533" w:rsidP="009678E4">
      <w:pPr>
        <w:tabs>
          <w:tab w:val="left" w:pos="426"/>
        </w:tabs>
        <w:spacing w:before="120" w:after="120"/>
        <w:ind w:left="360"/>
        <w:jc w:val="both"/>
        <w:rPr>
          <w:szCs w:val="24"/>
          <w:u w:val="single"/>
          <w:lang w:val="el-GR"/>
        </w:rPr>
      </w:pPr>
      <w:r w:rsidRPr="009678E4">
        <w:rPr>
          <w:szCs w:val="24"/>
          <w:u w:val="single"/>
          <w:lang w:val="el-GR"/>
        </w:rPr>
        <w:t>Χρηματοδοτική Μίσθωση</w:t>
      </w:r>
    </w:p>
    <w:p w14:paraId="07D5F7A4" w14:textId="77777777" w:rsidR="00341533" w:rsidRPr="009678E4" w:rsidRDefault="00341533" w:rsidP="009678E4">
      <w:pPr>
        <w:numPr>
          <w:ilvl w:val="0"/>
          <w:numId w:val="4"/>
        </w:numPr>
        <w:spacing w:after="120"/>
        <w:jc w:val="both"/>
        <w:rPr>
          <w:bCs/>
          <w:iCs/>
          <w:szCs w:val="24"/>
          <w:lang w:val="el-GR"/>
        </w:rPr>
      </w:pPr>
      <w:r w:rsidRPr="009678E4">
        <w:rPr>
          <w:bCs/>
          <w:iCs/>
          <w:szCs w:val="24"/>
          <w:lang w:val="el-GR"/>
        </w:rPr>
        <w:lastRenderedPageBreak/>
        <w:t>Υπάρχει μία μη ακυρώσιμη σύμβαση. Ο μισθωτής για κανένα λόγο δεν μπορεί να αρνηθεί την εκπλήρωση των υποχρεώσεων που απορρέουν από την υπογραφή της σύμβασης.</w:t>
      </w:r>
    </w:p>
    <w:p w14:paraId="368A135D" w14:textId="77777777" w:rsidR="00341533" w:rsidRPr="009678E4" w:rsidRDefault="00341533" w:rsidP="009678E4">
      <w:pPr>
        <w:numPr>
          <w:ilvl w:val="0"/>
          <w:numId w:val="4"/>
        </w:numPr>
        <w:spacing w:after="120"/>
        <w:jc w:val="both"/>
        <w:rPr>
          <w:bCs/>
          <w:iCs/>
          <w:szCs w:val="24"/>
          <w:lang w:val="el-GR"/>
        </w:rPr>
      </w:pPr>
      <w:r w:rsidRPr="009678E4">
        <w:rPr>
          <w:bCs/>
          <w:iCs/>
          <w:szCs w:val="24"/>
          <w:lang w:val="el-GR"/>
        </w:rPr>
        <w:t>Ο μισθωτής αναγνωρίζει ένα ενσώματο στοιχείο στο πάγιο ενεργητικό με τον χαρακτηρισμό «Μισθωμένο» και μία μακροπρόθεσμη υποχρέωση η οποία θα εξοφληθεί με τοκοχρεολυτικές δόσεις</w:t>
      </w:r>
    </w:p>
    <w:p w14:paraId="6A15A6E2" w14:textId="77777777" w:rsidR="00341533" w:rsidRPr="009678E4" w:rsidRDefault="00341533" w:rsidP="009678E4">
      <w:pPr>
        <w:numPr>
          <w:ilvl w:val="0"/>
          <w:numId w:val="4"/>
        </w:numPr>
        <w:spacing w:after="120"/>
        <w:jc w:val="both"/>
        <w:rPr>
          <w:bCs/>
          <w:szCs w:val="24"/>
          <w:lang w:val="el-GR"/>
        </w:rPr>
      </w:pPr>
      <w:r w:rsidRPr="009678E4">
        <w:rPr>
          <w:bCs/>
          <w:iCs/>
          <w:szCs w:val="24"/>
          <w:lang w:val="el-GR"/>
        </w:rPr>
        <w:t>Τιμή Κτήσης του στοιχείου είναι η παρούσα αξία όλων των πληρωμών, δηλ. αυτών που γίνονται με την υπογραφή της σύμβασης και των μελλοντικών πληρωμών</w:t>
      </w:r>
    </w:p>
    <w:p w14:paraId="5BB00C9C" w14:textId="77777777" w:rsidR="00341533" w:rsidRPr="009678E4" w:rsidRDefault="00341533" w:rsidP="009678E4">
      <w:pPr>
        <w:numPr>
          <w:ilvl w:val="0"/>
          <w:numId w:val="4"/>
        </w:numPr>
        <w:spacing w:after="120"/>
        <w:jc w:val="both"/>
        <w:rPr>
          <w:bCs/>
          <w:szCs w:val="24"/>
          <w:lang w:val="el-GR"/>
        </w:rPr>
      </w:pPr>
      <w:r w:rsidRPr="009678E4">
        <w:rPr>
          <w:bCs/>
          <w:szCs w:val="24"/>
          <w:lang w:val="el-GR"/>
        </w:rPr>
        <w:t xml:space="preserve">Η μακροπρόθεσμη υποχρέωση αναγνωρίζεται στην </w:t>
      </w:r>
      <w:r w:rsidRPr="009678E4">
        <w:rPr>
          <w:bCs/>
          <w:iCs/>
          <w:szCs w:val="24"/>
          <w:lang w:val="el-GR"/>
        </w:rPr>
        <w:t>παρούσα αξία των μελλοντικών πληρωμών</w:t>
      </w:r>
    </w:p>
    <w:p w14:paraId="0BE094B7" w14:textId="7ACD6A92" w:rsidR="00341533" w:rsidRPr="009678E4" w:rsidRDefault="00341533" w:rsidP="009678E4">
      <w:pPr>
        <w:numPr>
          <w:ilvl w:val="0"/>
          <w:numId w:val="4"/>
        </w:numPr>
        <w:spacing w:after="120"/>
        <w:jc w:val="both"/>
        <w:rPr>
          <w:bCs/>
          <w:szCs w:val="24"/>
          <w:lang w:val="el-GR"/>
        </w:rPr>
      </w:pPr>
      <w:r w:rsidRPr="009678E4">
        <w:rPr>
          <w:bCs/>
          <w:iCs/>
          <w:szCs w:val="24"/>
          <w:lang w:val="el-GR"/>
        </w:rPr>
        <w:t xml:space="preserve">Το προεξοφλητικό επιτόκιο είναι </w:t>
      </w:r>
      <w:r w:rsidRPr="009678E4">
        <w:rPr>
          <w:szCs w:val="24"/>
          <w:lang w:val="el-GR"/>
        </w:rPr>
        <w:t>το προεξοφλητικό επιτόκιο το οποίο εξισώνει τη συνολική παρούσα αξία των πληρωμών (αρχικών και μελλοντικών) της μίσθωσης με την εύλογη αξία του μισθωμένου περιουσιακού στοιχείου. Το τελευταίο ποσό προσαυξάνει με κάθε αρχικό άμεσο κόστος του εκμισθωτή.</w:t>
      </w:r>
      <w:r w:rsidRPr="009678E4">
        <w:rPr>
          <w:bCs/>
          <w:iCs/>
          <w:szCs w:val="24"/>
          <w:lang w:val="el-GR"/>
        </w:rPr>
        <w:t xml:space="preserve"> </w:t>
      </w:r>
      <w:r w:rsidRPr="009678E4">
        <w:rPr>
          <w:szCs w:val="24"/>
          <w:lang w:val="el-GR"/>
        </w:rPr>
        <w:t xml:space="preserve">Στην περίπτωση που δεν μπορεί να προσδιοριστεί αυτό το επιτόκιο της σύμβασης χρησιμοποιείται ως επιτόκιο προεξόφλησης το </w:t>
      </w:r>
      <w:proofErr w:type="spellStart"/>
      <w:r w:rsidRPr="009678E4">
        <w:rPr>
          <w:szCs w:val="24"/>
          <w:lang w:val="el-GR"/>
        </w:rPr>
        <w:t>επαυξητικό</w:t>
      </w:r>
      <w:proofErr w:type="spellEnd"/>
      <w:r w:rsidRPr="009678E4">
        <w:rPr>
          <w:szCs w:val="24"/>
          <w:lang w:val="el-GR"/>
        </w:rPr>
        <w:t xml:space="preserve"> επιτόκιο δανεισμού του μισθωτή (δηλ. το επιτόκιο με το οποίο θα επιβαρυνότανε ο μισθωτής για να δανειστεί το ποσό που θα απαιτούνταν για να αγοράσει το στοιχείο του ενεργητικού).</w:t>
      </w:r>
    </w:p>
    <w:p w14:paraId="7C6C835A" w14:textId="357E53E2" w:rsidR="00341533" w:rsidRPr="009678E4" w:rsidRDefault="00341533" w:rsidP="009678E4">
      <w:pPr>
        <w:spacing w:after="200" w:line="276" w:lineRule="auto"/>
        <w:jc w:val="both"/>
        <w:rPr>
          <w:szCs w:val="24"/>
          <w:u w:val="single"/>
          <w:lang w:val="el-GR"/>
        </w:rPr>
      </w:pPr>
    </w:p>
    <w:p w14:paraId="69F7FF4A" w14:textId="77777777" w:rsidR="00341533" w:rsidRPr="009678E4" w:rsidRDefault="00341533" w:rsidP="009678E4">
      <w:pPr>
        <w:spacing w:after="120"/>
        <w:ind w:left="360"/>
        <w:jc w:val="both"/>
        <w:rPr>
          <w:szCs w:val="24"/>
          <w:lang w:val="el-GR"/>
        </w:rPr>
      </w:pPr>
      <w:r w:rsidRPr="009678E4">
        <w:rPr>
          <w:szCs w:val="24"/>
          <w:u w:val="single"/>
          <w:lang w:val="el-GR"/>
        </w:rPr>
        <w:t>Χρηματοδοτική Μίσθωση - Μέτρηση μετά την αρχική αναγνώριση</w:t>
      </w:r>
    </w:p>
    <w:p w14:paraId="6A09B3CA" w14:textId="77777777" w:rsidR="00341533" w:rsidRPr="009678E4" w:rsidRDefault="00341533" w:rsidP="009678E4">
      <w:pPr>
        <w:numPr>
          <w:ilvl w:val="0"/>
          <w:numId w:val="7"/>
        </w:numPr>
        <w:spacing w:after="120"/>
        <w:jc w:val="both"/>
        <w:rPr>
          <w:szCs w:val="24"/>
          <w:lang w:val="el-GR"/>
        </w:rPr>
      </w:pPr>
      <w:r w:rsidRPr="009678E4">
        <w:rPr>
          <w:szCs w:val="24"/>
          <w:lang w:val="el-GR"/>
        </w:rPr>
        <w:t>Το μισθωμένο πάγιο αποσβένεται</w:t>
      </w:r>
    </w:p>
    <w:p w14:paraId="11433A88" w14:textId="71C7BA5A" w:rsidR="00341533" w:rsidRPr="009678E4" w:rsidRDefault="009678E4" w:rsidP="009678E4">
      <w:pPr>
        <w:spacing w:after="120"/>
        <w:ind w:left="1440"/>
        <w:jc w:val="both"/>
        <w:rPr>
          <w:szCs w:val="24"/>
          <w:lang w:val="el-GR"/>
        </w:rPr>
      </w:pPr>
      <w:r w:rsidRPr="009678E4">
        <w:rPr>
          <w:szCs w:val="24"/>
          <w:lang w:val="el-GR"/>
        </w:rPr>
        <w:t xml:space="preserve">Α. </w:t>
      </w:r>
      <w:r w:rsidR="00341533" w:rsidRPr="009678E4">
        <w:rPr>
          <w:szCs w:val="24"/>
          <w:lang w:val="el-GR"/>
        </w:rPr>
        <w:t>Εφόσον η επιχείρηση προτίθεται να αποκτήσει το πάγιο με τη λήξη της μίσθωσης, στην ωφέλιμη ζωή του</w:t>
      </w:r>
    </w:p>
    <w:p w14:paraId="5B292755" w14:textId="6A03D0F8" w:rsidR="00341533" w:rsidRPr="009678E4" w:rsidRDefault="009678E4" w:rsidP="009678E4">
      <w:pPr>
        <w:spacing w:after="120"/>
        <w:ind w:left="1440"/>
        <w:jc w:val="both"/>
        <w:rPr>
          <w:szCs w:val="24"/>
          <w:lang w:val="el-GR"/>
        </w:rPr>
      </w:pPr>
      <w:r w:rsidRPr="009678E4">
        <w:rPr>
          <w:szCs w:val="24"/>
          <w:lang w:val="el-GR"/>
        </w:rPr>
        <w:t xml:space="preserve">Β. </w:t>
      </w:r>
      <w:r w:rsidR="00341533" w:rsidRPr="009678E4">
        <w:rPr>
          <w:szCs w:val="24"/>
          <w:lang w:val="el-GR"/>
        </w:rPr>
        <w:t>Εφόσον η επιχείρηση δεν προτίθεται να αποκτήσει το πάγιο με τη λήξη της μίσθωσης, στη χρονική διάρκεια της μίσθωσης</w:t>
      </w:r>
    </w:p>
    <w:p w14:paraId="54D6BCFF" w14:textId="77777777" w:rsidR="00341533" w:rsidRPr="009678E4" w:rsidRDefault="00341533" w:rsidP="009678E4">
      <w:pPr>
        <w:numPr>
          <w:ilvl w:val="0"/>
          <w:numId w:val="7"/>
        </w:numPr>
        <w:spacing w:after="120"/>
        <w:jc w:val="both"/>
        <w:rPr>
          <w:szCs w:val="24"/>
          <w:lang w:val="el-GR"/>
        </w:rPr>
      </w:pPr>
      <w:r w:rsidRPr="009678E4">
        <w:rPr>
          <w:szCs w:val="24"/>
          <w:lang w:val="el-GR"/>
        </w:rPr>
        <w:t>Το δάνειο εξοφλείται με τοκοχρεολυτικές δόσεις</w:t>
      </w:r>
    </w:p>
    <w:p w14:paraId="4D1D69AA" w14:textId="77777777" w:rsidR="00341533" w:rsidRPr="009678E4" w:rsidRDefault="00341533" w:rsidP="009678E4">
      <w:pPr>
        <w:numPr>
          <w:ilvl w:val="0"/>
          <w:numId w:val="7"/>
        </w:numPr>
        <w:spacing w:after="120"/>
        <w:jc w:val="both"/>
        <w:rPr>
          <w:szCs w:val="24"/>
          <w:lang w:val="el-GR"/>
        </w:rPr>
      </w:pPr>
      <w:r w:rsidRPr="009678E4">
        <w:rPr>
          <w:szCs w:val="24"/>
          <w:lang w:val="el-GR"/>
        </w:rPr>
        <w:t>Τα αποτελέσματα της χρήσεως επιβαρύνονται με την ετήσια απόσβεση και το ετήσιο έξοδο από τόκους</w:t>
      </w:r>
    </w:p>
    <w:p w14:paraId="7C6B6F3A" w14:textId="77777777" w:rsidR="00341533" w:rsidRPr="009678E4" w:rsidRDefault="00341533" w:rsidP="009678E4">
      <w:pPr>
        <w:spacing w:after="120"/>
        <w:jc w:val="both"/>
        <w:rPr>
          <w:bCs/>
          <w:szCs w:val="24"/>
          <w:lang w:val="el-GR"/>
        </w:rPr>
      </w:pPr>
    </w:p>
    <w:p w14:paraId="4097076B" w14:textId="77777777" w:rsidR="00341533" w:rsidRPr="009678E4" w:rsidRDefault="00341533" w:rsidP="009678E4">
      <w:pPr>
        <w:spacing w:after="120"/>
        <w:ind w:left="360"/>
        <w:jc w:val="both"/>
        <w:rPr>
          <w:bCs/>
          <w:szCs w:val="24"/>
          <w:u w:val="single"/>
          <w:lang w:val="el-GR"/>
        </w:rPr>
      </w:pPr>
      <w:r w:rsidRPr="009678E4">
        <w:rPr>
          <w:bCs/>
          <w:szCs w:val="24"/>
          <w:u w:val="single"/>
          <w:lang w:val="el-GR"/>
        </w:rPr>
        <w:t>Λειτουργική Μίσθωση</w:t>
      </w:r>
    </w:p>
    <w:p w14:paraId="7D047DBE" w14:textId="77777777" w:rsidR="00341533" w:rsidRPr="009678E4" w:rsidRDefault="00341533" w:rsidP="009678E4">
      <w:pPr>
        <w:pStyle w:val="a6"/>
        <w:numPr>
          <w:ilvl w:val="0"/>
          <w:numId w:val="6"/>
        </w:numPr>
        <w:spacing w:after="120"/>
        <w:jc w:val="both"/>
        <w:rPr>
          <w:bCs/>
          <w:szCs w:val="24"/>
          <w:lang w:val="el-GR"/>
        </w:rPr>
      </w:pPr>
      <w:r w:rsidRPr="009678E4">
        <w:rPr>
          <w:bCs/>
          <w:szCs w:val="24"/>
          <w:lang w:val="el-GR"/>
        </w:rPr>
        <w:t>Ο μισθωτής αναγνωρίζει κάθε πληρωμή σαν έξοδο από ενοίκια</w:t>
      </w:r>
    </w:p>
    <w:p w14:paraId="3058D51D" w14:textId="77777777" w:rsidR="00341533" w:rsidRPr="009678E4" w:rsidRDefault="00341533" w:rsidP="009678E4">
      <w:pPr>
        <w:pStyle w:val="a6"/>
        <w:numPr>
          <w:ilvl w:val="0"/>
          <w:numId w:val="6"/>
        </w:numPr>
        <w:spacing w:after="120"/>
        <w:jc w:val="both"/>
        <w:rPr>
          <w:bCs/>
          <w:szCs w:val="24"/>
          <w:lang w:val="el-GR"/>
        </w:rPr>
      </w:pPr>
      <w:r w:rsidRPr="009678E4">
        <w:rPr>
          <w:bCs/>
          <w:szCs w:val="24"/>
          <w:lang w:val="el-GR"/>
        </w:rPr>
        <w:t>Ο εκμισθωτής αναγνωρίζει κάθε είσπραξη σαν έσοδο από ενοίκια</w:t>
      </w:r>
    </w:p>
    <w:p w14:paraId="73C69B8B" w14:textId="77777777" w:rsidR="00341533" w:rsidRPr="009678E4" w:rsidRDefault="00341533" w:rsidP="009678E4">
      <w:pPr>
        <w:spacing w:after="120"/>
        <w:jc w:val="both"/>
        <w:rPr>
          <w:bCs/>
          <w:szCs w:val="24"/>
          <w:lang w:val="el-GR"/>
        </w:rPr>
      </w:pPr>
    </w:p>
    <w:p w14:paraId="38DEB720" w14:textId="77777777" w:rsidR="00B33E48" w:rsidRPr="009678E4" w:rsidRDefault="00B33E48" w:rsidP="009678E4">
      <w:pPr>
        <w:jc w:val="both"/>
        <w:rPr>
          <w:b/>
          <w:bCs/>
          <w:szCs w:val="24"/>
          <w:lang w:val="el-GR"/>
        </w:rPr>
      </w:pPr>
    </w:p>
    <w:p w14:paraId="53241081" w14:textId="3225729D" w:rsidR="00B33E48" w:rsidRPr="009678E4" w:rsidRDefault="00B33E48" w:rsidP="009678E4">
      <w:pPr>
        <w:jc w:val="both"/>
        <w:rPr>
          <w:bCs/>
          <w:szCs w:val="24"/>
          <w:lang w:val="el-GR"/>
        </w:rPr>
      </w:pPr>
      <w:r w:rsidRPr="009678E4">
        <w:rPr>
          <w:b/>
          <w:bCs/>
          <w:szCs w:val="24"/>
          <w:lang w:val="el-GR"/>
        </w:rPr>
        <w:t>Παράδειγμα 1</w:t>
      </w:r>
    </w:p>
    <w:p w14:paraId="299A0273" w14:textId="77777777" w:rsidR="00B33E48" w:rsidRPr="009678E4" w:rsidRDefault="00B33E48" w:rsidP="009678E4">
      <w:pPr>
        <w:jc w:val="both"/>
        <w:rPr>
          <w:bCs/>
          <w:szCs w:val="24"/>
          <w:lang w:val="el-GR"/>
        </w:rPr>
      </w:pPr>
      <w:r w:rsidRPr="009678E4">
        <w:rPr>
          <w:bCs/>
          <w:szCs w:val="24"/>
          <w:lang w:val="el-GR"/>
        </w:rPr>
        <w:t>Την 1/1/20Χ0 η επιχείρηση ΑΒΓ αγοράζει και εκμισθώνει στην επιχείρηση ΧΨΖ ένα φορτηγό αυτοκίνητο για περίοδο 5 ετών. Με το τέλος της μίσθωσης το φορτηγό επιστρέφεται στην ΑΒΓ. Το ετήσιο μίσθωμα καθορίζεται σε € 24.967 και είναι πληρωτέο στο τέλος κάθε έτους.</w:t>
      </w:r>
    </w:p>
    <w:p w14:paraId="145CCA99" w14:textId="23729CE0" w:rsidR="00B33E48" w:rsidRPr="009678E4" w:rsidRDefault="00B33E48" w:rsidP="009678E4">
      <w:pPr>
        <w:jc w:val="both"/>
        <w:rPr>
          <w:bCs/>
          <w:szCs w:val="24"/>
          <w:lang w:val="el-GR"/>
        </w:rPr>
      </w:pPr>
      <w:r w:rsidRPr="009678E4">
        <w:rPr>
          <w:bCs/>
          <w:szCs w:val="24"/>
        </w:rPr>
        <w:t>To</w:t>
      </w:r>
      <w:r w:rsidRPr="009678E4">
        <w:rPr>
          <w:bCs/>
          <w:szCs w:val="24"/>
          <w:lang w:val="el-GR"/>
        </w:rPr>
        <w:t xml:space="preserve"> προεξοφλητικό </w:t>
      </w:r>
      <w:r w:rsidR="007B184A" w:rsidRPr="009678E4">
        <w:rPr>
          <w:bCs/>
          <w:szCs w:val="24"/>
          <w:lang w:val="el-GR"/>
        </w:rPr>
        <w:t>επιτόκιο</w:t>
      </w:r>
      <w:r w:rsidRPr="009678E4">
        <w:rPr>
          <w:bCs/>
          <w:szCs w:val="24"/>
          <w:lang w:val="el-GR"/>
        </w:rPr>
        <w:t xml:space="preserve"> είναι 12%. </w:t>
      </w:r>
    </w:p>
    <w:p w14:paraId="46D51ABC" w14:textId="77777777" w:rsidR="00B33E48" w:rsidRPr="009678E4" w:rsidRDefault="00B33E48" w:rsidP="009678E4">
      <w:pPr>
        <w:jc w:val="both"/>
        <w:rPr>
          <w:bCs/>
          <w:szCs w:val="24"/>
          <w:lang w:val="el-GR"/>
        </w:rPr>
      </w:pPr>
      <w:r w:rsidRPr="009678E4">
        <w:rPr>
          <w:bCs/>
          <w:szCs w:val="24"/>
          <w:lang w:val="el-GR"/>
        </w:rPr>
        <w:lastRenderedPageBreak/>
        <w:t xml:space="preserve">Ζητείται ο πίνακας τοκοχρεολυτικής απόσβεσης του δανείου και οι σχετικές ημερολογιακές εγγραφές στα βιβλία της ΧΨΖ υποθέτοντας </w:t>
      </w:r>
    </w:p>
    <w:p w14:paraId="786F7F40" w14:textId="77777777" w:rsidR="00B33E48" w:rsidRPr="009678E4" w:rsidRDefault="00B33E48" w:rsidP="009678E4">
      <w:pPr>
        <w:jc w:val="both"/>
        <w:rPr>
          <w:bCs/>
          <w:szCs w:val="24"/>
          <w:lang w:val="el-GR"/>
        </w:rPr>
      </w:pPr>
      <w:r w:rsidRPr="009678E4">
        <w:rPr>
          <w:bCs/>
          <w:szCs w:val="24"/>
          <w:lang w:val="el-GR"/>
        </w:rPr>
        <w:t xml:space="preserve">α) λειτουργική μίσθωση και </w:t>
      </w:r>
    </w:p>
    <w:p w14:paraId="6871BC19" w14:textId="77777777" w:rsidR="00B33E48" w:rsidRPr="009678E4" w:rsidRDefault="00B33E48" w:rsidP="009678E4">
      <w:pPr>
        <w:jc w:val="both"/>
        <w:rPr>
          <w:bCs/>
          <w:szCs w:val="24"/>
          <w:lang w:val="el-GR"/>
        </w:rPr>
      </w:pPr>
      <w:r w:rsidRPr="009678E4">
        <w:rPr>
          <w:bCs/>
          <w:szCs w:val="24"/>
          <w:lang w:val="el-GR"/>
        </w:rPr>
        <w:t xml:space="preserve">β) χρηματοδοτική μίσθωση. </w:t>
      </w:r>
    </w:p>
    <w:p w14:paraId="6E4A030A" w14:textId="77777777" w:rsidR="00B33E48" w:rsidRPr="009678E4" w:rsidRDefault="00B33E48" w:rsidP="009678E4">
      <w:pPr>
        <w:jc w:val="both"/>
        <w:rPr>
          <w:b/>
          <w:bCs/>
          <w:szCs w:val="24"/>
          <w:lang w:val="el-GR"/>
        </w:rPr>
      </w:pPr>
    </w:p>
    <w:p w14:paraId="3B08AA11" w14:textId="77777777" w:rsidR="00B33E48" w:rsidRPr="009F3C02" w:rsidRDefault="00B33E48" w:rsidP="00555B39">
      <w:pPr>
        <w:ind w:firstLine="720"/>
        <w:jc w:val="both"/>
        <w:rPr>
          <w:lang w:val="el-GR"/>
        </w:rPr>
      </w:pPr>
    </w:p>
    <w:sectPr w:rsidR="00B33E48" w:rsidRPr="009F3C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gHelveticaUCPol">
    <w:altName w:val="MS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E9"/>
    <w:multiLevelType w:val="singleLevel"/>
    <w:tmpl w:val="04080001"/>
    <w:lvl w:ilvl="0">
      <w:start w:val="1"/>
      <w:numFmt w:val="bullet"/>
      <w:lvlText w:val=""/>
      <w:lvlJc w:val="left"/>
      <w:pPr>
        <w:ind w:left="720" w:hanging="360"/>
      </w:pPr>
      <w:rPr>
        <w:rFonts w:ascii="Symbol" w:hAnsi="Symbol" w:hint="default"/>
      </w:rPr>
    </w:lvl>
  </w:abstractNum>
  <w:abstractNum w:abstractNumId="1" w15:restartNumberingAfterBreak="0">
    <w:nsid w:val="029A7211"/>
    <w:multiLevelType w:val="hybridMultilevel"/>
    <w:tmpl w:val="815293F0"/>
    <w:lvl w:ilvl="0" w:tplc="FA342F9A">
      <w:start w:val="1"/>
      <w:numFmt w:val="bullet"/>
      <w:lvlText w:val="•"/>
      <w:lvlJc w:val="left"/>
      <w:pPr>
        <w:tabs>
          <w:tab w:val="num" w:pos="720"/>
        </w:tabs>
        <w:ind w:left="720" w:hanging="360"/>
      </w:pPr>
      <w:rPr>
        <w:rFonts w:ascii="Arial" w:hAnsi="Arial" w:hint="default"/>
      </w:rPr>
    </w:lvl>
    <w:lvl w:ilvl="1" w:tplc="9A148A74" w:tentative="1">
      <w:start w:val="1"/>
      <w:numFmt w:val="bullet"/>
      <w:lvlText w:val="•"/>
      <w:lvlJc w:val="left"/>
      <w:pPr>
        <w:tabs>
          <w:tab w:val="num" w:pos="1440"/>
        </w:tabs>
        <w:ind w:left="1440" w:hanging="360"/>
      </w:pPr>
      <w:rPr>
        <w:rFonts w:ascii="Arial" w:hAnsi="Arial" w:hint="default"/>
      </w:rPr>
    </w:lvl>
    <w:lvl w:ilvl="2" w:tplc="264A4202" w:tentative="1">
      <w:start w:val="1"/>
      <w:numFmt w:val="bullet"/>
      <w:lvlText w:val="•"/>
      <w:lvlJc w:val="left"/>
      <w:pPr>
        <w:tabs>
          <w:tab w:val="num" w:pos="2160"/>
        </w:tabs>
        <w:ind w:left="2160" w:hanging="360"/>
      </w:pPr>
      <w:rPr>
        <w:rFonts w:ascii="Arial" w:hAnsi="Arial" w:hint="default"/>
      </w:rPr>
    </w:lvl>
    <w:lvl w:ilvl="3" w:tplc="A0DCB41A" w:tentative="1">
      <w:start w:val="1"/>
      <w:numFmt w:val="bullet"/>
      <w:lvlText w:val="•"/>
      <w:lvlJc w:val="left"/>
      <w:pPr>
        <w:tabs>
          <w:tab w:val="num" w:pos="2880"/>
        </w:tabs>
        <w:ind w:left="2880" w:hanging="360"/>
      </w:pPr>
      <w:rPr>
        <w:rFonts w:ascii="Arial" w:hAnsi="Arial" w:hint="default"/>
      </w:rPr>
    </w:lvl>
    <w:lvl w:ilvl="4" w:tplc="CE426BC4" w:tentative="1">
      <w:start w:val="1"/>
      <w:numFmt w:val="bullet"/>
      <w:lvlText w:val="•"/>
      <w:lvlJc w:val="left"/>
      <w:pPr>
        <w:tabs>
          <w:tab w:val="num" w:pos="3600"/>
        </w:tabs>
        <w:ind w:left="3600" w:hanging="360"/>
      </w:pPr>
      <w:rPr>
        <w:rFonts w:ascii="Arial" w:hAnsi="Arial" w:hint="default"/>
      </w:rPr>
    </w:lvl>
    <w:lvl w:ilvl="5" w:tplc="CEA4EC38" w:tentative="1">
      <w:start w:val="1"/>
      <w:numFmt w:val="bullet"/>
      <w:lvlText w:val="•"/>
      <w:lvlJc w:val="left"/>
      <w:pPr>
        <w:tabs>
          <w:tab w:val="num" w:pos="4320"/>
        </w:tabs>
        <w:ind w:left="4320" w:hanging="360"/>
      </w:pPr>
      <w:rPr>
        <w:rFonts w:ascii="Arial" w:hAnsi="Arial" w:hint="default"/>
      </w:rPr>
    </w:lvl>
    <w:lvl w:ilvl="6" w:tplc="D968FE22" w:tentative="1">
      <w:start w:val="1"/>
      <w:numFmt w:val="bullet"/>
      <w:lvlText w:val="•"/>
      <w:lvlJc w:val="left"/>
      <w:pPr>
        <w:tabs>
          <w:tab w:val="num" w:pos="5040"/>
        </w:tabs>
        <w:ind w:left="5040" w:hanging="360"/>
      </w:pPr>
      <w:rPr>
        <w:rFonts w:ascii="Arial" w:hAnsi="Arial" w:hint="default"/>
      </w:rPr>
    </w:lvl>
    <w:lvl w:ilvl="7" w:tplc="26AAAB6C" w:tentative="1">
      <w:start w:val="1"/>
      <w:numFmt w:val="bullet"/>
      <w:lvlText w:val="•"/>
      <w:lvlJc w:val="left"/>
      <w:pPr>
        <w:tabs>
          <w:tab w:val="num" w:pos="5760"/>
        </w:tabs>
        <w:ind w:left="5760" w:hanging="360"/>
      </w:pPr>
      <w:rPr>
        <w:rFonts w:ascii="Arial" w:hAnsi="Arial" w:hint="default"/>
      </w:rPr>
    </w:lvl>
    <w:lvl w:ilvl="8" w:tplc="C47412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E0A4A"/>
    <w:multiLevelType w:val="hybridMultilevel"/>
    <w:tmpl w:val="1A467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CA7A6F"/>
    <w:multiLevelType w:val="hybridMultilevel"/>
    <w:tmpl w:val="8D64D3F2"/>
    <w:lvl w:ilvl="0" w:tplc="91805BCA">
      <w:start w:val="1"/>
      <w:numFmt w:val="bullet"/>
      <w:lvlText w:val="•"/>
      <w:lvlJc w:val="left"/>
      <w:pPr>
        <w:tabs>
          <w:tab w:val="num" w:pos="720"/>
        </w:tabs>
        <w:ind w:left="720" w:hanging="360"/>
      </w:pPr>
      <w:rPr>
        <w:rFonts w:ascii="Arial" w:hAnsi="Arial" w:hint="default"/>
      </w:rPr>
    </w:lvl>
    <w:lvl w:ilvl="1" w:tplc="D278C3F4" w:tentative="1">
      <w:start w:val="1"/>
      <w:numFmt w:val="bullet"/>
      <w:lvlText w:val="•"/>
      <w:lvlJc w:val="left"/>
      <w:pPr>
        <w:tabs>
          <w:tab w:val="num" w:pos="1440"/>
        </w:tabs>
        <w:ind w:left="1440" w:hanging="360"/>
      </w:pPr>
      <w:rPr>
        <w:rFonts w:ascii="Arial" w:hAnsi="Arial" w:hint="default"/>
      </w:rPr>
    </w:lvl>
    <w:lvl w:ilvl="2" w:tplc="00D2CD54" w:tentative="1">
      <w:start w:val="1"/>
      <w:numFmt w:val="bullet"/>
      <w:lvlText w:val="•"/>
      <w:lvlJc w:val="left"/>
      <w:pPr>
        <w:tabs>
          <w:tab w:val="num" w:pos="2160"/>
        </w:tabs>
        <w:ind w:left="2160" w:hanging="360"/>
      </w:pPr>
      <w:rPr>
        <w:rFonts w:ascii="Arial" w:hAnsi="Arial" w:hint="default"/>
      </w:rPr>
    </w:lvl>
    <w:lvl w:ilvl="3" w:tplc="A32670C8" w:tentative="1">
      <w:start w:val="1"/>
      <w:numFmt w:val="bullet"/>
      <w:lvlText w:val="•"/>
      <w:lvlJc w:val="left"/>
      <w:pPr>
        <w:tabs>
          <w:tab w:val="num" w:pos="2880"/>
        </w:tabs>
        <w:ind w:left="2880" w:hanging="360"/>
      </w:pPr>
      <w:rPr>
        <w:rFonts w:ascii="Arial" w:hAnsi="Arial" w:hint="default"/>
      </w:rPr>
    </w:lvl>
    <w:lvl w:ilvl="4" w:tplc="4544CE2C" w:tentative="1">
      <w:start w:val="1"/>
      <w:numFmt w:val="bullet"/>
      <w:lvlText w:val="•"/>
      <w:lvlJc w:val="left"/>
      <w:pPr>
        <w:tabs>
          <w:tab w:val="num" w:pos="3600"/>
        </w:tabs>
        <w:ind w:left="3600" w:hanging="360"/>
      </w:pPr>
      <w:rPr>
        <w:rFonts w:ascii="Arial" w:hAnsi="Arial" w:hint="default"/>
      </w:rPr>
    </w:lvl>
    <w:lvl w:ilvl="5" w:tplc="2B2222E6" w:tentative="1">
      <w:start w:val="1"/>
      <w:numFmt w:val="bullet"/>
      <w:lvlText w:val="•"/>
      <w:lvlJc w:val="left"/>
      <w:pPr>
        <w:tabs>
          <w:tab w:val="num" w:pos="4320"/>
        </w:tabs>
        <w:ind w:left="4320" w:hanging="360"/>
      </w:pPr>
      <w:rPr>
        <w:rFonts w:ascii="Arial" w:hAnsi="Arial" w:hint="default"/>
      </w:rPr>
    </w:lvl>
    <w:lvl w:ilvl="6" w:tplc="2C8446BE" w:tentative="1">
      <w:start w:val="1"/>
      <w:numFmt w:val="bullet"/>
      <w:lvlText w:val="•"/>
      <w:lvlJc w:val="left"/>
      <w:pPr>
        <w:tabs>
          <w:tab w:val="num" w:pos="5040"/>
        </w:tabs>
        <w:ind w:left="5040" w:hanging="360"/>
      </w:pPr>
      <w:rPr>
        <w:rFonts w:ascii="Arial" w:hAnsi="Arial" w:hint="default"/>
      </w:rPr>
    </w:lvl>
    <w:lvl w:ilvl="7" w:tplc="6B202C88" w:tentative="1">
      <w:start w:val="1"/>
      <w:numFmt w:val="bullet"/>
      <w:lvlText w:val="•"/>
      <w:lvlJc w:val="left"/>
      <w:pPr>
        <w:tabs>
          <w:tab w:val="num" w:pos="5760"/>
        </w:tabs>
        <w:ind w:left="5760" w:hanging="360"/>
      </w:pPr>
      <w:rPr>
        <w:rFonts w:ascii="Arial" w:hAnsi="Arial" w:hint="default"/>
      </w:rPr>
    </w:lvl>
    <w:lvl w:ilvl="8" w:tplc="C8D8A2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A41B84"/>
    <w:multiLevelType w:val="hybridMultilevel"/>
    <w:tmpl w:val="74CAC85A"/>
    <w:lvl w:ilvl="0" w:tplc="9E582532">
      <w:start w:val="1"/>
      <w:numFmt w:val="bullet"/>
      <w:lvlText w:val="•"/>
      <w:lvlJc w:val="left"/>
      <w:pPr>
        <w:tabs>
          <w:tab w:val="num" w:pos="720"/>
        </w:tabs>
        <w:ind w:left="720" w:hanging="360"/>
      </w:pPr>
      <w:rPr>
        <w:rFonts w:ascii="Arial" w:hAnsi="Arial" w:hint="default"/>
      </w:rPr>
    </w:lvl>
    <w:lvl w:ilvl="1" w:tplc="7414B44C" w:tentative="1">
      <w:start w:val="1"/>
      <w:numFmt w:val="bullet"/>
      <w:lvlText w:val="•"/>
      <w:lvlJc w:val="left"/>
      <w:pPr>
        <w:tabs>
          <w:tab w:val="num" w:pos="1440"/>
        </w:tabs>
        <w:ind w:left="1440" w:hanging="360"/>
      </w:pPr>
      <w:rPr>
        <w:rFonts w:ascii="Arial" w:hAnsi="Arial" w:hint="default"/>
      </w:rPr>
    </w:lvl>
    <w:lvl w:ilvl="2" w:tplc="3F0AC1AE" w:tentative="1">
      <w:start w:val="1"/>
      <w:numFmt w:val="bullet"/>
      <w:lvlText w:val="•"/>
      <w:lvlJc w:val="left"/>
      <w:pPr>
        <w:tabs>
          <w:tab w:val="num" w:pos="2160"/>
        </w:tabs>
        <w:ind w:left="2160" w:hanging="360"/>
      </w:pPr>
      <w:rPr>
        <w:rFonts w:ascii="Arial" w:hAnsi="Arial" w:hint="default"/>
      </w:rPr>
    </w:lvl>
    <w:lvl w:ilvl="3" w:tplc="A336E88C" w:tentative="1">
      <w:start w:val="1"/>
      <w:numFmt w:val="bullet"/>
      <w:lvlText w:val="•"/>
      <w:lvlJc w:val="left"/>
      <w:pPr>
        <w:tabs>
          <w:tab w:val="num" w:pos="2880"/>
        </w:tabs>
        <w:ind w:left="2880" w:hanging="360"/>
      </w:pPr>
      <w:rPr>
        <w:rFonts w:ascii="Arial" w:hAnsi="Arial" w:hint="default"/>
      </w:rPr>
    </w:lvl>
    <w:lvl w:ilvl="4" w:tplc="078CD9A8" w:tentative="1">
      <w:start w:val="1"/>
      <w:numFmt w:val="bullet"/>
      <w:lvlText w:val="•"/>
      <w:lvlJc w:val="left"/>
      <w:pPr>
        <w:tabs>
          <w:tab w:val="num" w:pos="3600"/>
        </w:tabs>
        <w:ind w:left="3600" w:hanging="360"/>
      </w:pPr>
      <w:rPr>
        <w:rFonts w:ascii="Arial" w:hAnsi="Arial" w:hint="default"/>
      </w:rPr>
    </w:lvl>
    <w:lvl w:ilvl="5" w:tplc="92987FBC" w:tentative="1">
      <w:start w:val="1"/>
      <w:numFmt w:val="bullet"/>
      <w:lvlText w:val="•"/>
      <w:lvlJc w:val="left"/>
      <w:pPr>
        <w:tabs>
          <w:tab w:val="num" w:pos="4320"/>
        </w:tabs>
        <w:ind w:left="4320" w:hanging="360"/>
      </w:pPr>
      <w:rPr>
        <w:rFonts w:ascii="Arial" w:hAnsi="Arial" w:hint="default"/>
      </w:rPr>
    </w:lvl>
    <w:lvl w:ilvl="6" w:tplc="BD62087E" w:tentative="1">
      <w:start w:val="1"/>
      <w:numFmt w:val="bullet"/>
      <w:lvlText w:val="•"/>
      <w:lvlJc w:val="left"/>
      <w:pPr>
        <w:tabs>
          <w:tab w:val="num" w:pos="5040"/>
        </w:tabs>
        <w:ind w:left="5040" w:hanging="360"/>
      </w:pPr>
      <w:rPr>
        <w:rFonts w:ascii="Arial" w:hAnsi="Arial" w:hint="default"/>
      </w:rPr>
    </w:lvl>
    <w:lvl w:ilvl="7" w:tplc="4DCAC680" w:tentative="1">
      <w:start w:val="1"/>
      <w:numFmt w:val="bullet"/>
      <w:lvlText w:val="•"/>
      <w:lvlJc w:val="left"/>
      <w:pPr>
        <w:tabs>
          <w:tab w:val="num" w:pos="5760"/>
        </w:tabs>
        <w:ind w:left="5760" w:hanging="360"/>
      </w:pPr>
      <w:rPr>
        <w:rFonts w:ascii="Arial" w:hAnsi="Arial" w:hint="default"/>
      </w:rPr>
    </w:lvl>
    <w:lvl w:ilvl="8" w:tplc="8F52D2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875B31"/>
    <w:multiLevelType w:val="hybridMultilevel"/>
    <w:tmpl w:val="8C3A140E"/>
    <w:lvl w:ilvl="0" w:tplc="4F9EB438">
      <w:start w:val="1"/>
      <w:numFmt w:val="decimal"/>
      <w:lvlText w:val="%1."/>
      <w:lvlJc w:val="left"/>
      <w:pPr>
        <w:tabs>
          <w:tab w:val="num" w:pos="720"/>
        </w:tabs>
        <w:ind w:left="720" w:hanging="360"/>
      </w:pPr>
    </w:lvl>
    <w:lvl w:ilvl="1" w:tplc="47FCFFE4" w:tentative="1">
      <w:start w:val="1"/>
      <w:numFmt w:val="decimal"/>
      <w:lvlText w:val="%2."/>
      <w:lvlJc w:val="left"/>
      <w:pPr>
        <w:tabs>
          <w:tab w:val="num" w:pos="1440"/>
        </w:tabs>
        <w:ind w:left="1440" w:hanging="360"/>
      </w:pPr>
    </w:lvl>
    <w:lvl w:ilvl="2" w:tplc="7F88FC78" w:tentative="1">
      <w:start w:val="1"/>
      <w:numFmt w:val="decimal"/>
      <w:lvlText w:val="%3."/>
      <w:lvlJc w:val="left"/>
      <w:pPr>
        <w:tabs>
          <w:tab w:val="num" w:pos="2160"/>
        </w:tabs>
        <w:ind w:left="2160" w:hanging="360"/>
      </w:pPr>
    </w:lvl>
    <w:lvl w:ilvl="3" w:tplc="0CE036E6" w:tentative="1">
      <w:start w:val="1"/>
      <w:numFmt w:val="decimal"/>
      <w:lvlText w:val="%4."/>
      <w:lvlJc w:val="left"/>
      <w:pPr>
        <w:tabs>
          <w:tab w:val="num" w:pos="2880"/>
        </w:tabs>
        <w:ind w:left="2880" w:hanging="360"/>
      </w:pPr>
    </w:lvl>
    <w:lvl w:ilvl="4" w:tplc="8C04EC0A" w:tentative="1">
      <w:start w:val="1"/>
      <w:numFmt w:val="decimal"/>
      <w:lvlText w:val="%5."/>
      <w:lvlJc w:val="left"/>
      <w:pPr>
        <w:tabs>
          <w:tab w:val="num" w:pos="3600"/>
        </w:tabs>
        <w:ind w:left="3600" w:hanging="360"/>
      </w:pPr>
    </w:lvl>
    <w:lvl w:ilvl="5" w:tplc="E7B25B38" w:tentative="1">
      <w:start w:val="1"/>
      <w:numFmt w:val="decimal"/>
      <w:lvlText w:val="%6."/>
      <w:lvlJc w:val="left"/>
      <w:pPr>
        <w:tabs>
          <w:tab w:val="num" w:pos="4320"/>
        </w:tabs>
        <w:ind w:left="4320" w:hanging="360"/>
      </w:pPr>
    </w:lvl>
    <w:lvl w:ilvl="6" w:tplc="CFFEBC7A" w:tentative="1">
      <w:start w:val="1"/>
      <w:numFmt w:val="decimal"/>
      <w:lvlText w:val="%7."/>
      <w:lvlJc w:val="left"/>
      <w:pPr>
        <w:tabs>
          <w:tab w:val="num" w:pos="5040"/>
        </w:tabs>
        <w:ind w:left="5040" w:hanging="360"/>
      </w:pPr>
    </w:lvl>
    <w:lvl w:ilvl="7" w:tplc="40C06260" w:tentative="1">
      <w:start w:val="1"/>
      <w:numFmt w:val="decimal"/>
      <w:lvlText w:val="%8."/>
      <w:lvlJc w:val="left"/>
      <w:pPr>
        <w:tabs>
          <w:tab w:val="num" w:pos="5760"/>
        </w:tabs>
        <w:ind w:left="5760" w:hanging="360"/>
      </w:pPr>
    </w:lvl>
    <w:lvl w:ilvl="8" w:tplc="852672EE" w:tentative="1">
      <w:start w:val="1"/>
      <w:numFmt w:val="decimal"/>
      <w:lvlText w:val="%9."/>
      <w:lvlJc w:val="left"/>
      <w:pPr>
        <w:tabs>
          <w:tab w:val="num" w:pos="6480"/>
        </w:tabs>
        <w:ind w:left="6480" w:hanging="360"/>
      </w:pPr>
    </w:lvl>
  </w:abstractNum>
  <w:abstractNum w:abstractNumId="6" w15:restartNumberingAfterBreak="0">
    <w:nsid w:val="43AA0B05"/>
    <w:multiLevelType w:val="hybridMultilevel"/>
    <w:tmpl w:val="C9E87ED6"/>
    <w:lvl w:ilvl="0" w:tplc="6D6E772C">
      <w:start w:val="1"/>
      <w:numFmt w:val="decimal"/>
      <w:lvlText w:val="%1."/>
      <w:lvlJc w:val="left"/>
      <w:pPr>
        <w:tabs>
          <w:tab w:val="num" w:pos="720"/>
        </w:tabs>
        <w:ind w:left="720" w:hanging="360"/>
      </w:pPr>
    </w:lvl>
    <w:lvl w:ilvl="1" w:tplc="3E3C15C6">
      <w:start w:val="1"/>
      <w:numFmt w:val="lowerLetter"/>
      <w:lvlText w:val="%2."/>
      <w:lvlJc w:val="left"/>
      <w:pPr>
        <w:tabs>
          <w:tab w:val="num" w:pos="1440"/>
        </w:tabs>
        <w:ind w:left="1440" w:hanging="360"/>
      </w:pPr>
    </w:lvl>
    <w:lvl w:ilvl="2" w:tplc="CDD05F0C" w:tentative="1">
      <w:start w:val="1"/>
      <w:numFmt w:val="decimal"/>
      <w:lvlText w:val="%3."/>
      <w:lvlJc w:val="left"/>
      <w:pPr>
        <w:tabs>
          <w:tab w:val="num" w:pos="2160"/>
        </w:tabs>
        <w:ind w:left="2160" w:hanging="360"/>
      </w:pPr>
    </w:lvl>
    <w:lvl w:ilvl="3" w:tplc="AE52FEFE" w:tentative="1">
      <w:start w:val="1"/>
      <w:numFmt w:val="decimal"/>
      <w:lvlText w:val="%4."/>
      <w:lvlJc w:val="left"/>
      <w:pPr>
        <w:tabs>
          <w:tab w:val="num" w:pos="2880"/>
        </w:tabs>
        <w:ind w:left="2880" w:hanging="360"/>
      </w:pPr>
    </w:lvl>
    <w:lvl w:ilvl="4" w:tplc="1D349A9C" w:tentative="1">
      <w:start w:val="1"/>
      <w:numFmt w:val="decimal"/>
      <w:lvlText w:val="%5."/>
      <w:lvlJc w:val="left"/>
      <w:pPr>
        <w:tabs>
          <w:tab w:val="num" w:pos="3600"/>
        </w:tabs>
        <w:ind w:left="3600" w:hanging="360"/>
      </w:pPr>
    </w:lvl>
    <w:lvl w:ilvl="5" w:tplc="F15C04D2" w:tentative="1">
      <w:start w:val="1"/>
      <w:numFmt w:val="decimal"/>
      <w:lvlText w:val="%6."/>
      <w:lvlJc w:val="left"/>
      <w:pPr>
        <w:tabs>
          <w:tab w:val="num" w:pos="4320"/>
        </w:tabs>
        <w:ind w:left="4320" w:hanging="360"/>
      </w:pPr>
    </w:lvl>
    <w:lvl w:ilvl="6" w:tplc="2C8C672A" w:tentative="1">
      <w:start w:val="1"/>
      <w:numFmt w:val="decimal"/>
      <w:lvlText w:val="%7."/>
      <w:lvlJc w:val="left"/>
      <w:pPr>
        <w:tabs>
          <w:tab w:val="num" w:pos="5040"/>
        </w:tabs>
        <w:ind w:left="5040" w:hanging="360"/>
      </w:pPr>
    </w:lvl>
    <w:lvl w:ilvl="7" w:tplc="4CFCF4B0" w:tentative="1">
      <w:start w:val="1"/>
      <w:numFmt w:val="decimal"/>
      <w:lvlText w:val="%8."/>
      <w:lvlJc w:val="left"/>
      <w:pPr>
        <w:tabs>
          <w:tab w:val="num" w:pos="5760"/>
        </w:tabs>
        <w:ind w:left="5760" w:hanging="360"/>
      </w:pPr>
    </w:lvl>
    <w:lvl w:ilvl="8" w:tplc="AC52737C" w:tentative="1">
      <w:start w:val="1"/>
      <w:numFmt w:val="decimal"/>
      <w:lvlText w:val="%9."/>
      <w:lvlJc w:val="left"/>
      <w:pPr>
        <w:tabs>
          <w:tab w:val="num" w:pos="6480"/>
        </w:tabs>
        <w:ind w:left="6480" w:hanging="360"/>
      </w:pPr>
    </w:lvl>
  </w:abstractNum>
  <w:abstractNum w:abstractNumId="7" w15:restartNumberingAfterBreak="0">
    <w:nsid w:val="69437E35"/>
    <w:multiLevelType w:val="hybridMultilevel"/>
    <w:tmpl w:val="F8D0E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895D00"/>
    <w:multiLevelType w:val="hybridMultilevel"/>
    <w:tmpl w:val="1040A69A"/>
    <w:lvl w:ilvl="0" w:tplc="11DEDB10">
      <w:start w:val="1"/>
      <w:numFmt w:val="decimal"/>
      <w:lvlText w:val="%1."/>
      <w:lvlJc w:val="left"/>
      <w:pPr>
        <w:tabs>
          <w:tab w:val="num" w:pos="720"/>
        </w:tabs>
        <w:ind w:left="720" w:hanging="360"/>
      </w:pPr>
    </w:lvl>
    <w:lvl w:ilvl="1" w:tplc="9F061BC8" w:tentative="1">
      <w:start w:val="1"/>
      <w:numFmt w:val="decimal"/>
      <w:lvlText w:val="%2."/>
      <w:lvlJc w:val="left"/>
      <w:pPr>
        <w:tabs>
          <w:tab w:val="num" w:pos="1440"/>
        </w:tabs>
        <w:ind w:left="1440" w:hanging="360"/>
      </w:pPr>
    </w:lvl>
    <w:lvl w:ilvl="2" w:tplc="380A5628" w:tentative="1">
      <w:start w:val="1"/>
      <w:numFmt w:val="decimal"/>
      <w:lvlText w:val="%3."/>
      <w:lvlJc w:val="left"/>
      <w:pPr>
        <w:tabs>
          <w:tab w:val="num" w:pos="2160"/>
        </w:tabs>
        <w:ind w:left="2160" w:hanging="360"/>
      </w:pPr>
    </w:lvl>
    <w:lvl w:ilvl="3" w:tplc="93E4326A" w:tentative="1">
      <w:start w:val="1"/>
      <w:numFmt w:val="decimal"/>
      <w:lvlText w:val="%4."/>
      <w:lvlJc w:val="left"/>
      <w:pPr>
        <w:tabs>
          <w:tab w:val="num" w:pos="2880"/>
        </w:tabs>
        <w:ind w:left="2880" w:hanging="360"/>
      </w:pPr>
    </w:lvl>
    <w:lvl w:ilvl="4" w:tplc="7E7853C2" w:tentative="1">
      <w:start w:val="1"/>
      <w:numFmt w:val="decimal"/>
      <w:lvlText w:val="%5."/>
      <w:lvlJc w:val="left"/>
      <w:pPr>
        <w:tabs>
          <w:tab w:val="num" w:pos="3600"/>
        </w:tabs>
        <w:ind w:left="3600" w:hanging="360"/>
      </w:pPr>
    </w:lvl>
    <w:lvl w:ilvl="5" w:tplc="B01227E8" w:tentative="1">
      <w:start w:val="1"/>
      <w:numFmt w:val="decimal"/>
      <w:lvlText w:val="%6."/>
      <w:lvlJc w:val="left"/>
      <w:pPr>
        <w:tabs>
          <w:tab w:val="num" w:pos="4320"/>
        </w:tabs>
        <w:ind w:left="4320" w:hanging="360"/>
      </w:pPr>
    </w:lvl>
    <w:lvl w:ilvl="6" w:tplc="4142F378" w:tentative="1">
      <w:start w:val="1"/>
      <w:numFmt w:val="decimal"/>
      <w:lvlText w:val="%7."/>
      <w:lvlJc w:val="left"/>
      <w:pPr>
        <w:tabs>
          <w:tab w:val="num" w:pos="5040"/>
        </w:tabs>
        <w:ind w:left="5040" w:hanging="360"/>
      </w:pPr>
    </w:lvl>
    <w:lvl w:ilvl="7" w:tplc="DABCDE50" w:tentative="1">
      <w:start w:val="1"/>
      <w:numFmt w:val="decimal"/>
      <w:lvlText w:val="%8."/>
      <w:lvlJc w:val="left"/>
      <w:pPr>
        <w:tabs>
          <w:tab w:val="num" w:pos="5760"/>
        </w:tabs>
        <w:ind w:left="5760" w:hanging="360"/>
      </w:pPr>
    </w:lvl>
    <w:lvl w:ilvl="8" w:tplc="50DEECD6" w:tentative="1">
      <w:start w:val="1"/>
      <w:numFmt w:val="decimal"/>
      <w:lvlText w:val="%9."/>
      <w:lvlJc w:val="left"/>
      <w:pPr>
        <w:tabs>
          <w:tab w:val="num" w:pos="6480"/>
        </w:tabs>
        <w:ind w:left="6480" w:hanging="360"/>
      </w:pPr>
    </w:lvl>
  </w:abstractNum>
  <w:abstractNum w:abstractNumId="9" w15:restartNumberingAfterBreak="0">
    <w:nsid w:val="78354AE5"/>
    <w:multiLevelType w:val="hybridMultilevel"/>
    <w:tmpl w:val="F190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72562445">
    <w:abstractNumId w:val="0"/>
  </w:num>
  <w:num w:numId="2" w16cid:durableId="62415973">
    <w:abstractNumId w:val="5"/>
  </w:num>
  <w:num w:numId="3" w16cid:durableId="167596875">
    <w:abstractNumId w:val="1"/>
  </w:num>
  <w:num w:numId="4" w16cid:durableId="2144346691">
    <w:abstractNumId w:val="2"/>
  </w:num>
  <w:num w:numId="5" w16cid:durableId="798646223">
    <w:abstractNumId w:val="7"/>
  </w:num>
  <w:num w:numId="6" w16cid:durableId="818810238">
    <w:abstractNumId w:val="9"/>
  </w:num>
  <w:num w:numId="7" w16cid:durableId="622688595">
    <w:abstractNumId w:val="6"/>
  </w:num>
  <w:num w:numId="8" w16cid:durableId="641540584">
    <w:abstractNumId w:val="4"/>
  </w:num>
  <w:num w:numId="9" w16cid:durableId="1258322027">
    <w:abstractNumId w:val="3"/>
  </w:num>
  <w:num w:numId="10" w16cid:durableId="8085920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02"/>
    <w:rsid w:val="00032A9F"/>
    <w:rsid w:val="00282BE7"/>
    <w:rsid w:val="00341533"/>
    <w:rsid w:val="004D0CA4"/>
    <w:rsid w:val="00555B39"/>
    <w:rsid w:val="007B184A"/>
    <w:rsid w:val="007C09DF"/>
    <w:rsid w:val="008624E5"/>
    <w:rsid w:val="008642F3"/>
    <w:rsid w:val="00872C66"/>
    <w:rsid w:val="009678E4"/>
    <w:rsid w:val="009F3C02"/>
    <w:rsid w:val="00B33E48"/>
    <w:rsid w:val="00BD3B9C"/>
    <w:rsid w:val="00CC268B"/>
    <w:rsid w:val="00DA429F"/>
    <w:rsid w:val="00E559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A775"/>
  <w15:chartTrackingRefBased/>
  <w15:docId w15:val="{E8C7953E-9227-49DC-9F60-C7A17CF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C02"/>
    <w:pPr>
      <w:spacing w:after="0" w:line="240" w:lineRule="auto"/>
    </w:pPr>
    <w:rPr>
      <w:rFonts w:ascii="Times New Roman" w:eastAsia="Times New Roman" w:hAnsi="Times New Roman" w:cs="Times New Roman"/>
      <w:kern w:val="0"/>
      <w:sz w:val="24"/>
      <w:szCs w:val="20"/>
      <w:lang w:val="en-GB"/>
      <w14:ligatures w14:val="none"/>
    </w:rPr>
  </w:style>
  <w:style w:type="paragraph" w:styleId="1">
    <w:name w:val="heading 1"/>
    <w:basedOn w:val="a"/>
    <w:next w:val="a"/>
    <w:link w:val="1Char"/>
    <w:uiPriority w:val="9"/>
    <w:qFormat/>
    <w:rsid w:val="009F3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F3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F3C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F3C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F3C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F3C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F3C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F3C0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F3C0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3C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F3C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F3C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F3C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F3C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F3C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F3C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F3C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F3C02"/>
    <w:rPr>
      <w:rFonts w:eastAsiaTheme="majorEastAsia" w:cstheme="majorBidi"/>
      <w:color w:val="272727" w:themeColor="text1" w:themeTint="D8"/>
    </w:rPr>
  </w:style>
  <w:style w:type="paragraph" w:styleId="a3">
    <w:name w:val="Title"/>
    <w:basedOn w:val="a"/>
    <w:next w:val="a"/>
    <w:link w:val="Char"/>
    <w:uiPriority w:val="10"/>
    <w:qFormat/>
    <w:rsid w:val="009F3C0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F3C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F3C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F3C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F3C02"/>
    <w:pPr>
      <w:spacing w:before="160"/>
      <w:jc w:val="center"/>
    </w:pPr>
    <w:rPr>
      <w:i/>
      <w:iCs/>
      <w:color w:val="404040" w:themeColor="text1" w:themeTint="BF"/>
    </w:rPr>
  </w:style>
  <w:style w:type="character" w:customStyle="1" w:styleId="Char1">
    <w:name w:val="Απόσπασμα Char"/>
    <w:basedOn w:val="a0"/>
    <w:link w:val="a5"/>
    <w:uiPriority w:val="29"/>
    <w:rsid w:val="009F3C02"/>
    <w:rPr>
      <w:i/>
      <w:iCs/>
      <w:color w:val="404040" w:themeColor="text1" w:themeTint="BF"/>
    </w:rPr>
  </w:style>
  <w:style w:type="paragraph" w:styleId="a6">
    <w:name w:val="List Paragraph"/>
    <w:basedOn w:val="a"/>
    <w:uiPriority w:val="34"/>
    <w:qFormat/>
    <w:rsid w:val="009F3C02"/>
    <w:pPr>
      <w:ind w:left="720"/>
      <w:contextualSpacing/>
    </w:pPr>
  </w:style>
  <w:style w:type="character" w:styleId="a7">
    <w:name w:val="Intense Emphasis"/>
    <w:basedOn w:val="a0"/>
    <w:uiPriority w:val="21"/>
    <w:qFormat/>
    <w:rsid w:val="009F3C02"/>
    <w:rPr>
      <w:i/>
      <w:iCs/>
      <w:color w:val="0F4761" w:themeColor="accent1" w:themeShade="BF"/>
    </w:rPr>
  </w:style>
  <w:style w:type="paragraph" w:styleId="a8">
    <w:name w:val="Intense Quote"/>
    <w:basedOn w:val="a"/>
    <w:next w:val="a"/>
    <w:link w:val="Char2"/>
    <w:uiPriority w:val="30"/>
    <w:qFormat/>
    <w:rsid w:val="009F3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F3C02"/>
    <w:rPr>
      <w:i/>
      <w:iCs/>
      <w:color w:val="0F4761" w:themeColor="accent1" w:themeShade="BF"/>
    </w:rPr>
  </w:style>
  <w:style w:type="character" w:styleId="a9">
    <w:name w:val="Intense Reference"/>
    <w:basedOn w:val="a0"/>
    <w:uiPriority w:val="32"/>
    <w:qFormat/>
    <w:rsid w:val="009F3C02"/>
    <w:rPr>
      <w:b/>
      <w:bCs/>
      <w:smallCaps/>
      <w:color w:val="0F4761" w:themeColor="accent1" w:themeShade="BF"/>
      <w:spacing w:val="5"/>
    </w:rPr>
  </w:style>
  <w:style w:type="paragraph" w:styleId="10">
    <w:name w:val="index 1"/>
    <w:basedOn w:val="a"/>
    <w:next w:val="a"/>
    <w:autoRedefine/>
    <w:semiHidden/>
    <w:rsid w:val="009F3C02"/>
    <w:pPr>
      <w:jc w:val="both"/>
    </w:pPr>
    <w:rPr>
      <w:bCs/>
      <w:szCs w:val="24"/>
      <w:u w:val="single"/>
      <w:lang w:val="el-GR"/>
    </w:rPr>
  </w:style>
  <w:style w:type="table" w:styleId="aa">
    <w:name w:val="Table Grid"/>
    <w:basedOn w:val="a1"/>
    <w:uiPriority w:val="59"/>
    <w:rsid w:val="003415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42658">
      <w:bodyDiv w:val="1"/>
      <w:marLeft w:val="0"/>
      <w:marRight w:val="0"/>
      <w:marTop w:val="0"/>
      <w:marBottom w:val="0"/>
      <w:divBdr>
        <w:top w:val="none" w:sz="0" w:space="0" w:color="auto"/>
        <w:left w:val="none" w:sz="0" w:space="0" w:color="auto"/>
        <w:bottom w:val="none" w:sz="0" w:space="0" w:color="auto"/>
        <w:right w:val="none" w:sz="0" w:space="0" w:color="auto"/>
      </w:divBdr>
    </w:div>
    <w:div w:id="1739593349">
      <w:bodyDiv w:val="1"/>
      <w:marLeft w:val="0"/>
      <w:marRight w:val="0"/>
      <w:marTop w:val="0"/>
      <w:marBottom w:val="0"/>
      <w:divBdr>
        <w:top w:val="none" w:sz="0" w:space="0" w:color="auto"/>
        <w:left w:val="none" w:sz="0" w:space="0" w:color="auto"/>
        <w:bottom w:val="none" w:sz="0" w:space="0" w:color="auto"/>
        <w:right w:val="none" w:sz="0" w:space="0" w:color="auto"/>
      </w:divBdr>
    </w:div>
    <w:div w:id="1987775416">
      <w:bodyDiv w:val="1"/>
      <w:marLeft w:val="0"/>
      <w:marRight w:val="0"/>
      <w:marTop w:val="0"/>
      <w:marBottom w:val="0"/>
      <w:divBdr>
        <w:top w:val="none" w:sz="0" w:space="0" w:color="auto"/>
        <w:left w:val="none" w:sz="0" w:space="0" w:color="auto"/>
        <w:bottom w:val="none" w:sz="0" w:space="0" w:color="auto"/>
        <w:right w:val="none" w:sz="0" w:space="0" w:color="auto"/>
      </w:divBdr>
      <w:divsChild>
        <w:div w:id="1340885258">
          <w:marLeft w:val="547"/>
          <w:marRight w:val="0"/>
          <w:marTop w:val="115"/>
          <w:marBottom w:val="0"/>
          <w:divBdr>
            <w:top w:val="none" w:sz="0" w:space="0" w:color="auto"/>
            <w:left w:val="none" w:sz="0" w:space="0" w:color="auto"/>
            <w:bottom w:val="none" w:sz="0" w:space="0" w:color="auto"/>
            <w:right w:val="none" w:sz="0" w:space="0" w:color="auto"/>
          </w:divBdr>
        </w:div>
        <w:div w:id="1507552249">
          <w:marLeft w:val="547"/>
          <w:marRight w:val="0"/>
          <w:marTop w:val="115"/>
          <w:marBottom w:val="0"/>
          <w:divBdr>
            <w:top w:val="none" w:sz="0" w:space="0" w:color="auto"/>
            <w:left w:val="none" w:sz="0" w:space="0" w:color="auto"/>
            <w:bottom w:val="none" w:sz="0" w:space="0" w:color="auto"/>
            <w:right w:val="none" w:sz="0" w:space="0" w:color="auto"/>
          </w:divBdr>
        </w:div>
        <w:div w:id="1114446776">
          <w:marLeft w:val="547"/>
          <w:marRight w:val="0"/>
          <w:marTop w:val="115"/>
          <w:marBottom w:val="0"/>
          <w:divBdr>
            <w:top w:val="none" w:sz="0" w:space="0" w:color="auto"/>
            <w:left w:val="none" w:sz="0" w:space="0" w:color="auto"/>
            <w:bottom w:val="none" w:sz="0" w:space="0" w:color="auto"/>
            <w:right w:val="none" w:sz="0" w:space="0" w:color="auto"/>
          </w:divBdr>
        </w:div>
        <w:div w:id="821311765">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7624-5613-4D7C-AB67-9DE6CFED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1907</Words>
  <Characters>10299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11</cp:revision>
  <dcterms:created xsi:type="dcterms:W3CDTF">2023-12-13T06:41:00Z</dcterms:created>
  <dcterms:modified xsi:type="dcterms:W3CDTF">2023-12-14T08:04:00Z</dcterms:modified>
</cp:coreProperties>
</file>