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spacing w:val="-12"/>
          <w:sz w:val="22"/>
          <w:lang w:val="el-GR"/>
        </w:rPr>
        <w:t xml:space="preserve">    </w:t>
      </w:r>
      <w:r>
        <w:rPr>
          <w:b/>
          <w:spacing w:val="-12"/>
          <w:sz w:val="22"/>
        </w:rPr>
        <w:t>Ομόρρυθμη Εταιρεία</w:t>
        <w:tab/>
      </w:r>
    </w:p>
    <w:tbl>
      <w:tblPr>
        <w:tblW w:w="9525" w:type="dxa"/>
        <w:jc w:val="left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903"/>
        <w:gridCol w:w="1903"/>
        <w:gridCol w:w="1903"/>
        <w:gridCol w:w="1904"/>
        <w:gridCol w:w="1912"/>
      </w:tblGrid>
      <w:tr>
        <w:trPr/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451" w:leader="none"/>
                <w:tab w:val="left" w:pos="2268" w:leader="none"/>
                <w:tab w:val="left" w:pos="7088" w:leader="none"/>
              </w:tabs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pacing w:val="-12"/>
                <w:sz w:val="16"/>
              </w:rPr>
              <w:t>ΧΑΡΑΚΤΗΡΙΣΤΙΚΑ Ο.Ε.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451" w:leader="none"/>
                <w:tab w:val="left" w:pos="2268" w:leader="none"/>
                <w:tab w:val="left" w:pos="7088" w:leader="none"/>
              </w:tabs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pacing w:val="-12"/>
                <w:sz w:val="16"/>
              </w:rPr>
              <w:t>ΠΡΟΫΠΟΘΕΣΕΙΣ ΙΔΡΥΣΗΣ Ο.Ε.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451" w:leader="none"/>
                <w:tab w:val="left" w:pos="2268" w:leader="none"/>
                <w:tab w:val="left" w:pos="7088" w:leader="none"/>
              </w:tabs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pacing w:val="-12"/>
                <w:sz w:val="16"/>
              </w:rPr>
              <w:t>ΥΠΟΧΡΕΩΣΕΙΣ ΕΤΑΙΡΩΝ Ο.Ε.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451" w:leader="none"/>
                <w:tab w:val="left" w:pos="2268" w:leader="none"/>
                <w:tab w:val="left" w:pos="7088" w:leader="none"/>
              </w:tabs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pacing w:val="-12"/>
                <w:sz w:val="16"/>
              </w:rPr>
              <w:t>ΔΙΚΑΙΩΜΑΤΑ ΕΤΑΙΡΩΝ Ο.Ε.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451" w:leader="none"/>
                <w:tab w:val="left" w:pos="2268" w:leader="none"/>
                <w:tab w:val="left" w:pos="7088" w:leader="none"/>
              </w:tabs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pacing w:val="-12"/>
                <w:sz w:val="16"/>
              </w:rPr>
              <w:t>ΛΥΣΗ - ΕΚΚΑΘΑΡΙΣΗ  Ο.Ε.</w:t>
            </w:r>
          </w:p>
        </w:tc>
      </w:tr>
      <w:tr>
        <w:trPr>
          <w:cantSplit w:val="true"/>
        </w:trPr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>
                <w:lang w:val="en-US"/>
              </w:rPr>
            </w:pPr>
            <w:r>
              <w:rPr>
                <w:b/>
                <w:sz w:val="16"/>
                <w:lang w:val="en-US" w:eastAsia="ar-SA"/>
              </w:rPr>
              <w:t>Προ</w:t>
            </w:r>
            <w:r>
              <w:rPr>
                <w:b/>
                <w:sz w:val="16"/>
                <w:lang w:eastAsia="ar-SA"/>
              </w:rPr>
              <w:t>σ</w:t>
            </w:r>
            <w:r>
              <w:rPr>
                <w:b/>
                <w:sz w:val="16"/>
                <w:lang w:val="en-US" w:eastAsia="ar-SA"/>
              </w:rPr>
              <w:t>ωπικη</w:t>
            </w:r>
            <w:r>
              <w:rPr>
                <w:b/>
                <w:sz w:val="16"/>
                <w:lang w:eastAsia="ar-SA"/>
              </w:rPr>
              <w:t xml:space="preserve"> εταιρεια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/>
            </w:pPr>
            <w:r>
              <w:rPr>
                <w:b/>
                <w:sz w:val="16"/>
                <w:lang w:eastAsia="ar-SA"/>
              </w:rPr>
              <w:t>Τυπικές προϋποθέσεις</w:t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sz w:val="16"/>
              </w:rPr>
              <w:t xml:space="preserve">Υποχρεωση </w:t>
            </w:r>
            <w:r>
              <w:rPr>
                <w:sz w:val="16"/>
                <w:lang w:val="en-US"/>
              </w:rPr>
              <w:t>διαχειρiσης</w:t>
            </w:r>
            <w:r>
              <w:rPr>
                <w:sz w:val="16"/>
              </w:rPr>
              <w:t xml:space="preserve"> και εκπροσωπ</w:t>
            </w:r>
            <w:r>
              <w:rPr>
                <w:sz w:val="16"/>
                <w:lang w:val="en-US"/>
              </w:rPr>
              <w:t>ησης</w:t>
            </w:r>
            <w:r>
              <w:rPr>
                <w:sz w:val="16"/>
              </w:rPr>
              <w:t xml:space="preserve"> για την πραγματοποιηση σκοπου εταιρειας. Ισχυει η ατομικη διαχειριση (αρ. 254) ή η κατασταστικη (βασει καταστατικου) . Οι  διαχειριστες ευθυνονται για ελαφρα αμελεια και αν είναι πολλοι εις ολοκληρον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/>
            </w:pPr>
            <w:r>
              <w:rPr>
                <w:b/>
                <w:sz w:val="16"/>
                <w:lang w:eastAsia="ar-SA"/>
              </w:rPr>
              <w:t>Προσωπικά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b/>
                <w:sz w:val="16"/>
              </w:rPr>
              <w:t>Η λυση μιας ΟΕ</w:t>
            </w:r>
            <w:r>
              <w:rPr>
                <w:sz w:val="16"/>
              </w:rPr>
              <w:t xml:space="preserve"> μπορει να οφειλεται (αρ. 259):</w:t>
            </w:r>
          </w:p>
        </w:tc>
      </w:tr>
      <w:tr>
        <w:trPr>
          <w:cantSplit w:val="true"/>
        </w:trPr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/>
            </w:pPr>
            <w:r>
              <w:rPr>
                <w:b/>
                <w:sz w:val="16"/>
                <w:lang w:eastAsia="ar-SA"/>
              </w:rPr>
              <w:t>Νομικη προσωπικοτητα</w:t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Εγγραφο καταστατικο –ιδιωτικο με ορους λειτουργίας , δικαιωματα και υποχρεωσεις εταιρων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ψηφου : αν δεν οριζει διαφορετικα το καταστατικο πρεπει να υπαρχει ομοφωνια αποφασεων άλλως πλειοψηφία (αρ. 253)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  <w:u w:val="single"/>
              </w:rPr>
              <w:t>Παροδος χρονου διαρκειας:-</w:t>
            </w:r>
            <w:r>
              <w:rPr>
                <w:sz w:val="16"/>
              </w:rPr>
              <w:t xml:space="preserve"> αν συνεχιστει η λειτουργια τοτε ισχυει ανανεωση επ αοριστον </w:t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jc w:val="left"/>
              <w:rPr/>
            </w:pPr>
            <w:r>
              <w:rPr>
                <w:b/>
                <w:sz w:val="16"/>
              </w:rPr>
              <w:t>Εταιρικη επωνυμια :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4" w:right="0" w:hanging="0"/>
              <w:jc w:val="left"/>
              <w:rPr/>
            </w:pPr>
            <w:r>
              <w:rPr>
                <w:sz w:val="16"/>
              </w:rPr>
              <w:t>Μπορει να είναι ρητη- να εχει το ονομα εταιρου και τα υπολοιπα να καλυπτονται με φρασεις είναι &amp; ΣΙΑ - &amp; Αδερφοι -  &amp; Υιοι ή από το αντικείμενο της εταιρίας (αρθ.250)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Διατυπωσεις δημοσιοτητας με εγγραφη  στο Γ.Ε.ΜΗ. της εδρας της και απόκτηση νομικης προσωπικοτητας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ελεγχου:μπορει να εξεταζει βιβλια και εγγραφα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  <w:u w:val="single"/>
              </w:rPr>
              <w:t>Πραγματοποιηση ή αδυναμια πραγματοποιησης</w:t>
            </w:r>
            <w:r>
              <w:rPr>
                <w:sz w:val="16"/>
              </w:rPr>
              <w:t xml:space="preserve"> εμπορικου σκοπου</w:t>
            </w:r>
          </w:p>
        </w:tc>
      </w:tr>
      <w:tr>
        <w:trPr>
          <w:trHeight w:val="202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διαχειρισης και εκπροσωπησης</w:t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jc w:val="left"/>
              <w:rPr/>
            </w:pPr>
            <w:r>
              <w:rPr>
                <w:b/>
                <w:sz w:val="16"/>
              </w:rPr>
              <w:t xml:space="preserve">Απεριοριστη εις ολοκληρο ευθυνη ομορυθμων εταιρων (αρ. 258): </w:t>
            </w:r>
          </w:p>
          <w:p>
            <w:pPr>
              <w:pStyle w:val="Normal"/>
              <w:widowControl/>
              <w:suppressAutoHyphens w:val="true"/>
              <w:bidi w:val="0"/>
              <w:ind w:left="284" w:right="0" w:hanging="0"/>
              <w:jc w:val="left"/>
              <w:rPr/>
            </w:pPr>
            <w:r>
              <w:rPr>
                <w:sz w:val="16"/>
              </w:rPr>
              <w:t>Για ολο το ποσο και με ευθυνη της ατομικης περιουσιας εταιρου.</w:t>
            </w:r>
          </w:p>
          <w:p>
            <w:pPr>
              <w:pStyle w:val="Style13"/>
              <w:widowControl w:val="false"/>
              <w:bidi w:val="0"/>
              <w:spacing w:before="0" w:after="140"/>
              <w:ind w:left="284" w:right="0" w:hanging="0"/>
              <w:jc w:val="left"/>
              <w:rPr/>
            </w:pPr>
            <w:r>
              <w:rPr>
                <w:sz w:val="16"/>
                <w:lang w:eastAsia="ar-SA"/>
              </w:rPr>
              <w:t xml:space="preserve">Δανειστης μπορει να στραφει κατά της εταιρειας ή κατά εταιρου και αν το καταβαλει ο 1 μπορει να στραφει κατά των υπολοιπων εταιρων και να του καταβαλλουν ποσο χρεους εως το ποσο συμμετοχης τους στην ΟΕ 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279" w:right="0" w:hanging="0"/>
              <w:jc w:val="left"/>
              <w:rPr/>
            </w:pPr>
            <w:r>
              <w:rPr>
                <w:sz w:val="16"/>
                <w:u w:val="single"/>
              </w:rPr>
              <w:t>Καταγγελια εταιριας από εταιρο</w:t>
            </w:r>
            <w:r>
              <w:rPr>
                <w:sz w:val="16"/>
              </w:rPr>
              <w:t>: σε ΟΕ ορισμενης διαρκειας απαιτειται εκτακτη καταγγελια για σπουδαιο λογο, αν αποδειχθει ανυπαρκτος τοτε εταιρος υποχρεουται σε αποζημιωση των υπολοιπων</w:t>
            </w:r>
          </w:p>
          <w:p>
            <w:pPr>
              <w:pStyle w:val="Normal"/>
              <w:widowControl/>
              <w:suppressAutoHyphens w:val="true"/>
              <w:bidi w:val="0"/>
              <w:ind w:left="279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ind w:left="279" w:right="0" w:hanging="0"/>
              <w:jc w:val="left"/>
              <w:rPr/>
            </w:pPr>
            <w:r>
              <w:rPr>
                <w:b/>
                <w:sz w:val="16"/>
                <w:u w:val="single"/>
              </w:rPr>
              <w:t>Αποκλεισμός εταίρου (αρ. 263)</w:t>
            </w:r>
          </w:p>
          <w:p>
            <w:pPr>
              <w:pStyle w:val="Normal"/>
              <w:widowControl/>
              <w:suppressAutoHyphens w:val="true"/>
              <w:bidi w:val="0"/>
              <w:ind w:left="279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b/>
                <w:sz w:val="16"/>
                <w:u w:val="single"/>
              </w:rPr>
              <w:t>Έξοδος εταίρου (αρ. 260-261)</w:t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/>
            </w:pPr>
            <w:r>
              <w:rPr>
                <w:rFonts w:eastAsia="Times New Roman"/>
                <w:b/>
                <w:sz w:val="16"/>
                <w:lang w:eastAsia="ar-SA"/>
              </w:rPr>
              <w:t>Ουσιαστικές προϋποθέσεις</w:t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sz w:val="16"/>
              </w:rPr>
              <w:t>Υποχρέωση να εργαζονται οι εταίροι για   την πραγματοποιηση σκοπου εταιρειας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00FFFF"/>
            <w:tcMar>
              <w:left w:w="-5" w:type="dxa"/>
            </w:tcMar>
          </w:tcPr>
          <w:p>
            <w:pPr>
              <w:pStyle w:val="7"/>
              <w:widowControl w:val="false"/>
              <w:numPr>
                <w:ilvl w:val="6"/>
                <w:numId w:val="1"/>
              </w:numPr>
              <w:bidi w:val="0"/>
              <w:spacing w:before="240" w:after="120"/>
              <w:ind w:left="2880" w:right="0" w:hanging="360"/>
              <w:jc w:val="left"/>
              <w:outlineLvl w:val="6"/>
              <w:rPr/>
            </w:pPr>
            <w:r>
              <w:rPr>
                <w:b/>
                <w:sz w:val="16"/>
                <w:lang w:eastAsia="ar-SA"/>
              </w:rPr>
              <w:t>Περιουσιακά</w:t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Ικανοτητα για αποκτηση εμπορικης ιδιοτητας εταιρου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επι των κερδων</w:t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sz w:val="16"/>
              </w:rPr>
              <w:t>Υποχρέωση Καταβολής εισφοράς. Αν δεν πληρωσει μπορει να τον καταγγείλει η εταιρια</w:t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στο προιον εκκαθαρισης: η διανομη γινεται μετα την εξοφληση των χρεων αναλογα με το ποσοστο συμετοχης των εισφορων</w:t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Καταστατικο που προσδιοριζει τους εταιρους,την εταιρικη επωνυμια, και τον εταιρικο σκοπο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sz w:val="16"/>
              </w:rPr>
              <w:t>Υποχρέωση πιστης και να αποφευγει ανταγωνιστικες πραξεις κατά εταιριας</w:t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  <w:u w:val="single"/>
              </w:rPr>
              <w:t>Θανατος ,πτωχευση ή αποχωρηση</w:t>
            </w:r>
            <w:r>
              <w:rPr>
                <w:sz w:val="16"/>
              </w:rPr>
              <w:t xml:space="preserve"> εταιρου αποτελει εκδηλωση πρωσοποπαγους χαρακτηρα ΟΕ.για Θανατο ή αποχωρηση μπορει να προβλεπεται ρητρα στο καταστατικο για συνέχιση εταιρίας (αρθ. 265-266)</w:t>
            </w:r>
          </w:p>
        </w:tc>
      </w:tr>
      <w:tr>
        <w:trPr>
          <w:trHeight w:val="195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Κοινος εταιρικος σκοπος συμφωνα με τον νομο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sz w:val="16"/>
              </w:rPr>
              <w:t>Αν κανει ανταγωνιστικη πραξη, οι εταιροι μπορουν :να καταγγειλουν την εταιρεια και να ζητησουν αποζημιωση ή να ζητησουν αποκλεισμο εταιρου και αποζημιωση ή να ζητησουν  μόνο αποζημιωση</w:t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/>
            </w:pPr>
            <w:r>
              <w:rPr>
                <w:sz w:val="16"/>
              </w:rPr>
              <w:t>Δικαιωμα  αποληψεως: ειδος μισθου  και αν προβλεπεται από το καταστατικο το ποσο παρακρατειται στο τελος από την διανομη κερδων</w:t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/>
            </w:pPr>
            <w:r>
              <w:rPr>
                <w:sz w:val="16"/>
              </w:rPr>
              <w:t>Καταβολη εισφορας με : χρήματα. Ακινητο ή κινητο , προσωπικη εργασια ή πελατεια κτλ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8" w:hRule="atLeast"/>
          <w:cantSplit w:val="true"/>
        </w:trPr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jc w:val="left"/>
              <w:rPr/>
            </w:pPr>
            <w:r>
              <w:rPr>
                <w:b/>
                <w:sz w:val="16"/>
              </w:rPr>
              <w:t>Εμπορικη εταιρεια με το ουσιαστικο συστημα όταν  επιδιωκει εμπορικό σκοπό: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84" w:right="0" w:hanging="0"/>
              <w:jc w:val="left"/>
              <w:rPr/>
            </w:pPr>
            <w:r>
              <w:rPr>
                <w:sz w:val="16"/>
              </w:rPr>
              <w:t>Αν γινει εταιρος ομορρυθμης εταιρειας γινεται αυτοματα εμπορος αν επιδιώκει  εμπορικό σκοπό (εμπορικοτητα με το ουσιαστικο συστημα)  και σε περιπτωση πτωχευσης της ΟΕ συμπτωχευουν και οι ομόρρυθμοι εταιροι</w:t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</w:rPr>
              <w:t>Αποφαση εταιρων : ομοφωνια εκτος αν  το οριζει διαφορετικα το καταστατικο (αρ. 253)</w:t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tabs>
                <w:tab w:val="left" w:pos="656" w:leader="none"/>
              </w:tabs>
              <w:suppressAutoHyphens w:val="true"/>
              <w:bidi w:val="0"/>
              <w:spacing w:before="0" w:after="200"/>
              <w:ind w:left="328" w:right="0" w:hanging="328"/>
              <w:jc w:val="left"/>
              <w:rPr/>
            </w:pPr>
            <w:r>
              <w:rPr>
                <w:b/>
                <w:sz w:val="16"/>
              </w:rPr>
              <w:t>Με την λυση</w:t>
            </w:r>
            <w:r>
              <w:rPr>
                <w:sz w:val="16"/>
              </w:rPr>
              <w:t xml:space="preserve"> δεν περατωνεται η εταιρεα και συνεχιζει να εχει νομικη προσωπικοτητα, εμπορικη ιδιοτητα,και επωνυμια</w:t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328" w:right="0" w:hanging="328"/>
              <w:jc w:val="left"/>
              <w:rPr/>
            </w:pPr>
            <w:r>
              <w:rPr>
                <w:b/>
                <w:sz w:val="16"/>
              </w:rPr>
              <w:t>Με την εκκαθαριση</w:t>
            </w:r>
            <w:r>
              <w:rPr>
                <w:sz w:val="16"/>
              </w:rPr>
              <w:t xml:space="preserve"> ρευστοποιειται το ενεργητικο της εταιρειας, αποσβενεται το παθητικο και διανεμεται το υπολοιπο της περιουσιας. </w:t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3" w:hRule="atLeast"/>
          <w:cantSplit w:val="true"/>
        </w:trPr>
        <w:tc>
          <w:tcPr>
            <w:tcW w:w="1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</w:rPr>
              <w:t>Αν δεν φτανει το χρεος τοτε ο εταιρος καταβαλλει συμπληρωματικες εισφορες.</w:t>
            </w:r>
          </w:p>
        </w:tc>
      </w:tr>
      <w:tr>
        <w:trPr>
          <w:cantSplit w:val="true"/>
        </w:trPr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b/>
                <w:b/>
                <w:spacing w:val="-12"/>
                <w:sz w:val="16"/>
              </w:rPr>
            </w:pPr>
            <w:r>
              <w:rPr>
                <w:b/>
                <w:spacing w:val="-12"/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279" w:right="0" w:hanging="0"/>
              <w:jc w:val="left"/>
              <w:rPr/>
            </w:pPr>
            <w:r>
              <w:rPr>
                <w:sz w:val="16"/>
              </w:rPr>
              <w:t>Η εκκαθαριση διενεργειται από τους εταιρους εκτος αν οριζεται εκκαθαριστης</w:t>
            </w:r>
          </w:p>
        </w:tc>
      </w:tr>
    </w:tbl>
    <w:p>
      <w:pPr>
        <w:pStyle w:val="Normal"/>
        <w:widowControl/>
        <w:tabs>
          <w:tab w:val="left" w:pos="451" w:leader="none"/>
          <w:tab w:val="left" w:pos="2268" w:leader="none"/>
          <w:tab w:val="left" w:pos="7088" w:leader="none"/>
        </w:tabs>
        <w:suppressAutoHyphens w:val="true"/>
        <w:bidi w:val="0"/>
        <w:jc w:val="left"/>
        <w:rPr/>
      </w:pPr>
      <w:r>
        <w:rPr>
          <w:b/>
          <w:spacing w:val="-21"/>
          <w:sz w:val="22"/>
        </w:rPr>
        <w:t xml:space="preserve">    </w:t>
      </w:r>
    </w:p>
    <w:p>
      <w:pPr>
        <w:pStyle w:val="Normal"/>
        <w:widowControl/>
        <w:tabs>
          <w:tab w:val="left" w:pos="451" w:leader="none"/>
          <w:tab w:val="left" w:pos="2268" w:leader="none"/>
          <w:tab w:val="left" w:pos="7088" w:leader="none"/>
        </w:tabs>
        <w:suppressAutoHyphens w:val="true"/>
        <w:bidi w:val="0"/>
        <w:jc w:val="left"/>
        <w:rPr/>
      </w:pPr>
      <w:r>
        <w:rPr>
          <w:b/>
          <w:spacing w:val="-21"/>
          <w:sz w:val="22"/>
        </w:rPr>
        <w:t xml:space="preserve"> </w:t>
      </w:r>
      <w:r>
        <w:rPr>
          <w:b/>
          <w:spacing w:val="-21"/>
          <w:sz w:val="22"/>
        </w:rPr>
        <w:tab/>
      </w:r>
    </w:p>
    <w:p>
      <w:pPr>
        <w:pStyle w:val="Normal"/>
        <w:widowControl/>
        <w:shd w:fill="FFFFFF"/>
        <w:tabs>
          <w:tab w:val="left" w:pos="446" w:leader="none"/>
          <w:tab w:val="left" w:pos="2268" w:leader="none"/>
          <w:tab w:val="left" w:pos="7088" w:leader="none"/>
        </w:tabs>
        <w:suppressAutoHyphens w:val="true"/>
        <w:bidi w:val="0"/>
        <w:spacing w:before="0" w:after="200"/>
        <w:jc w:val="left"/>
        <w:rPr>
          <w:rFonts w:ascii="Tahoma" w:hAnsi="Tahoma" w:eastAsia="Tahoma"/>
          <w:color w:val="000000"/>
          <w:sz w:val="20"/>
          <w:lang w:val="el-GR" w:eastAsia="ar-SA"/>
        </w:rPr>
      </w:pPr>
      <w:r>
        <w:rPr/>
      </w:r>
    </w:p>
    <w:sectPr>
      <w:footerReference w:type="default" r:id="rId2"/>
      <w:type w:val="nextPage"/>
      <w:pgSz w:w="12240" w:h="15840"/>
      <w:pgMar w:left="1800" w:right="1800" w:header="0" w:top="1440" w:footer="1440" w:bottom="172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01"/>
    <w:family w:val="auto"/>
    <w:pitch w:val="default"/>
  </w:font>
  <w:font w:name="Tahoma">
    <w:charset w:val="01"/>
    <w:family w:val="auto"/>
    <w:pitch w:val="default"/>
  </w:font>
  <w:font w:name="Wingdings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1"/>
    <w:family w:val="auto"/>
    <w:pitch w:val="default"/>
  </w:font>
  <w:font w:name="MgOldTimes UC Po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7">
    <w:name w:val="Επικεφαλίδα 7"/>
    <w:basedOn w:val="Style12"/>
    <w:pPr/>
    <w:rPr/>
  </w:style>
  <w:style w:type="paragraph" w:styleId="8">
    <w:name w:val="Επικεφαλίδα 8"/>
    <w:basedOn w:val="Style12"/>
    <w:pPr/>
    <w:rPr/>
  </w:style>
  <w:style w:type="paragraph" w:styleId="9">
    <w:name w:val="Επικεφαλίδα 9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Σύνδεσμος διαδικτύου"/>
    <w:basedOn w:val="DefaultParagraphFont"/>
    <w:uiPriority w:val="99"/>
    <w:unhideWhenUsed/>
    <w:rsid w:val="00537f45"/>
    <w:rPr>
      <w:color w:val="0000FF" w:themeColor="hyperlink"/>
      <w:u w:val="single"/>
    </w:rPr>
  </w:style>
  <w:style w:type="character" w:styleId="BalloonTextChar">
    <w:name w:val="Balloon Text Char"/>
    <w:qFormat/>
    <w:rPr>
      <w:rFonts w:ascii="Tahoma" w:hAnsi="Tahoma" w:eastAsia="Tahoma"/>
      <w:sz w:val="16"/>
    </w:rPr>
  </w:style>
  <w:style w:type="character" w:styleId="WW8Num28z2">
    <w:name w:val="WW8Num28z2"/>
    <w:qFormat/>
    <w:rPr>
      <w:rFonts w:ascii="Wingdings" w:hAnsi="Wingdings" w:eastAsia="Wingdings"/>
    </w:rPr>
  </w:style>
  <w:style w:type="character" w:styleId="WW8Num28z1">
    <w:name w:val="WW8Num28z1"/>
    <w:qFormat/>
    <w:rPr>
      <w:rFonts w:ascii="Courier New" w:hAnsi="Courier New" w:eastAsia="Courier New"/>
    </w:rPr>
  </w:style>
  <w:style w:type="character" w:styleId="WW8Num28z0">
    <w:name w:val="WW8Num28z0"/>
    <w:qFormat/>
    <w:rPr>
      <w:rFonts w:ascii="Symbol" w:hAnsi="Symbol" w:eastAsia="Symbol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>
      <w:b/>
    </w:rPr>
  </w:style>
  <w:style w:type="character" w:styleId="WW8Num26z0">
    <w:name w:val="WW8Num26z0"/>
    <w:qFormat/>
    <w:rPr/>
  </w:style>
  <w:style w:type="character" w:styleId="WW8Num25z2">
    <w:name w:val="WW8Num25z2"/>
    <w:qFormat/>
    <w:rPr>
      <w:rFonts w:ascii="Wingdings" w:hAnsi="Wingdings" w:eastAsia="Wingdings"/>
    </w:rPr>
  </w:style>
  <w:style w:type="character" w:styleId="WW8Num25z1">
    <w:name w:val="WW8Num25z1"/>
    <w:qFormat/>
    <w:rPr>
      <w:rFonts w:ascii="Courier New" w:hAnsi="Courier New" w:eastAsia="Courier New"/>
    </w:rPr>
  </w:style>
  <w:style w:type="character" w:styleId="WW8Num25z0">
    <w:name w:val="WW8Num25z0"/>
    <w:qFormat/>
    <w:rPr>
      <w:rFonts w:ascii="Symbol" w:hAnsi="Symbol" w:eastAsia="Symbol"/>
      <w:sz w:val="16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8Num22z0">
    <w:name w:val="WW8Num22z0"/>
    <w:qFormat/>
    <w:rPr>
      <w:rFonts w:ascii="Symbol" w:hAnsi="Symbol" w:eastAsia="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eastAsia="Tahoma"/>
      <w:sz w:val="16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>
      <w:rFonts w:eastAsia="Tahoma"/>
      <w:b/>
      <w:spacing w:val="-19"/>
      <w:sz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eastAsia="Wingdings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rFonts w:ascii="Symbol" w:hAnsi="Symbol" w:eastAsia="Symbol"/>
      <w:sz w:val="16"/>
    </w:rPr>
  </w:style>
  <w:style w:type="character" w:styleId="WW8Num5z0">
    <w:name w:val="WW8Num5z0"/>
    <w:qFormat/>
    <w:rPr>
      <w:rFonts w:eastAsia="Tahoma"/>
      <w:sz w:val="16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eastAsia="Tahoma"/>
      <w:sz w:val="16"/>
    </w:rPr>
  </w:style>
  <w:style w:type="paragraph" w:styleId="Style12">
    <w:name w:val="Επικεφαλίδα"/>
    <w:basedOn w:val="Normal"/>
    <w:next w:val="Style13"/>
    <w:qFormat/>
    <w:pPr>
      <w:keepNext/>
      <w:spacing w:before="240" w:after="120"/>
    </w:pPr>
    <w:rPr>
      <w:rFonts w:ascii="MgOldTimes UC Pol" w:hAnsi="MgOldTimes UC Pol" w:eastAsia="Microsoft YaHei" w:cs="Arial"/>
      <w:sz w:val="26"/>
      <w:szCs w:val="28"/>
    </w:rPr>
  </w:style>
  <w:style w:type="paragraph" w:styleId="Style13">
    <w:name w:val="Σώμα κειμένου"/>
    <w:basedOn w:val="Normal"/>
    <w:pPr>
      <w:spacing w:lineRule="auto" w:line="288" w:before="0" w:after="140"/>
    </w:pPr>
    <w:rPr/>
  </w:style>
  <w:style w:type="paragraph" w:styleId="Style14">
    <w:name w:val="Λίστα"/>
    <w:basedOn w:val="Style13"/>
    <w:pPr/>
    <w:rPr>
      <w:rFonts w:ascii="MgOldTimes UC Pol" w:hAnsi="MgOldTimes UC Pol" w:cs="Arial"/>
    </w:rPr>
  </w:style>
  <w:style w:type="paragraph" w:styleId="Style15">
    <w:name w:val="Υπόμνημα"/>
    <w:basedOn w:val="Normal"/>
    <w:pPr>
      <w:suppressLineNumbers/>
      <w:spacing w:before="120" w:after="120"/>
    </w:pPr>
    <w:rPr>
      <w:rFonts w:ascii="MgOldTimes UC Pol" w:hAnsi="MgOldTimes UC Pol" w:cs="Arial"/>
      <w:i/>
      <w:iCs/>
      <w:sz w:val="26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ascii="MgOldTimes UC Pol" w:hAnsi="MgOldTimes UC Pol" w:cs="Arial"/>
    </w:rPr>
  </w:style>
  <w:style w:type="paragraph" w:styleId="BalloonText">
    <w:name w:val="Balloon Text"/>
    <w:basedOn w:val="Normal"/>
    <w:qFormat/>
    <w:pPr>
      <w:widowControl/>
      <w:bidi w:val="0"/>
      <w:jc w:val="left"/>
    </w:pPr>
    <w:rPr>
      <w:rFonts w:ascii="Tahoma" w:hAnsi="Tahoma" w:eastAsia="Tahoma"/>
      <w:color w:val="000000"/>
      <w:sz w:val="16"/>
      <w:lang w:val="el-GR" w:eastAsia="ar-SA"/>
    </w:rPr>
  </w:style>
  <w:style w:type="paragraph" w:styleId="BodyText2">
    <w:name w:val="Body Text 2"/>
    <w:basedOn w:val="Normal"/>
    <w:qFormat/>
    <w:pPr>
      <w:widowControl/>
      <w:bidi w:val="0"/>
      <w:jc w:val="left"/>
    </w:pPr>
    <w:rPr>
      <w:rFonts w:ascii="Tahoma" w:hAnsi="Tahoma" w:eastAsia="Tahoma"/>
      <w:b/>
      <w:color w:val="000000"/>
      <w:sz w:val="16"/>
      <w:lang w:val="el-GR" w:eastAsia="ar-SA"/>
    </w:rPr>
  </w:style>
  <w:style w:type="paragraph" w:styleId="BodyTextIndent3">
    <w:name w:val="Body Text Indent 3"/>
    <w:basedOn w:val="Normal"/>
    <w:qFormat/>
    <w:pPr>
      <w:widowControl/>
      <w:bidi w:val="0"/>
      <w:ind w:left="72" w:right="0" w:hanging="0"/>
      <w:jc w:val="left"/>
    </w:pPr>
    <w:rPr>
      <w:rFonts w:ascii="Tahoma" w:hAnsi="Tahoma" w:eastAsia="Tahoma"/>
      <w:b/>
      <w:color w:val="000000"/>
      <w:sz w:val="16"/>
      <w:lang w:val="el-GR" w:eastAsia="ar-SA"/>
    </w:rPr>
  </w:style>
  <w:style w:type="paragraph" w:styleId="BodyTextIndent2">
    <w:name w:val="Body Text Indent 2"/>
    <w:basedOn w:val="Normal"/>
    <w:qFormat/>
    <w:pPr>
      <w:widowControl/>
      <w:bidi w:val="0"/>
      <w:ind w:left="279" w:right="0" w:hanging="0"/>
      <w:jc w:val="left"/>
    </w:pPr>
    <w:rPr>
      <w:rFonts w:ascii="Tahoma" w:hAnsi="Tahoma" w:eastAsia="Tahoma"/>
      <w:b/>
      <w:color w:val="000000"/>
      <w:sz w:val="16"/>
      <w:lang w:val="el-GR" w:eastAsia="ar-SA"/>
    </w:rPr>
  </w:style>
  <w:style w:type="paragraph" w:styleId="BlockText">
    <w:name w:val="Block Text"/>
    <w:basedOn w:val="Normal"/>
    <w:qFormat/>
    <w:pPr>
      <w:widowControl/>
      <w:bidi w:val="0"/>
      <w:ind w:left="113" w:right="113" w:hanging="0"/>
      <w:jc w:val="left"/>
    </w:pPr>
    <w:rPr>
      <w:rFonts w:ascii="Tahoma" w:hAnsi="Tahoma" w:eastAsia="Tahoma"/>
      <w:color w:val="000000"/>
      <w:sz w:val="16"/>
      <w:lang w:val="el-GR" w:eastAsia="ar-SA"/>
    </w:rPr>
  </w:style>
  <w:style w:type="paragraph" w:styleId="Style17">
    <w:name w:val="Εσοχή σώματος κειμένου"/>
    <w:basedOn w:val="Style13"/>
    <w:pPr/>
    <w:rPr/>
  </w:style>
  <w:style w:type="paragraph" w:styleId="Style18">
    <w:name w:val="Υποσέλιδο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4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LibreOffice/5.0.3.2$Windows_x86 LibreOffice_project/e5f16313668ac592c1bfb310f4390624e3dbfb75</Application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2017-07-07T11:02:00Z</dcterms:created>
  <dc:creator>Δημήτρης Ζευγώλης</dc:creator>
  <dc:language>el-GR</dc:language>
  <dcterms:modified xsi:type="dcterms:W3CDTF">2018-03-07T13:19:34Z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