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6B" w:rsidRPr="00D3164B" w:rsidRDefault="00D3164B" w:rsidP="00D3164B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val="el-GR"/>
        </w:rPr>
      </w:pPr>
      <w:r w:rsidRPr="00D3164B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val="el-GR"/>
        </w:rPr>
        <w:t>Σε ανοδικό κύκλο η ναυλαγορά - Ποιοι τομείς ανακάμπτουν</w:t>
      </w:r>
    </w:p>
    <w:p w:rsidR="00D3164B" w:rsidRPr="00D3164B" w:rsidRDefault="00D3164B" w:rsidP="00D3164B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A0A0A0"/>
          <w:sz w:val="23"/>
          <w:szCs w:val="23"/>
        </w:rPr>
      </w:pPr>
      <w:r w:rsidRPr="00D3164B">
        <w:rPr>
          <w:rFonts w:ascii="Segoe UI Semibold" w:eastAsia="Times New Roman" w:hAnsi="Segoe UI Semibold" w:cs="Segoe UI Semibold"/>
          <w:noProof/>
          <w:color w:val="0000FF"/>
          <w:sz w:val="23"/>
          <w:szCs w:val="23"/>
        </w:rPr>
        <w:drawing>
          <wp:inline distT="0" distB="0" distL="0" distR="0">
            <wp:extent cx="662940" cy="662940"/>
            <wp:effectExtent l="0" t="0" r="3810" b="3810"/>
            <wp:docPr id="3" name="Picture 3" descr="Λογότυπο capital.gr">
              <a:hlinkClick xmlns:a="http://schemas.openxmlformats.org/drawingml/2006/main" r:id="rId4" tgtFrame="_blank" tooltip="λογότυπο capital.g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capital.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4B" w:rsidRPr="00D3164B" w:rsidRDefault="00D3164B" w:rsidP="00D3164B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000000"/>
          <w:sz w:val="23"/>
          <w:szCs w:val="23"/>
        </w:rPr>
      </w:pPr>
      <w:hyperlink r:id="rId6" w:tgtFrame="_blank" w:tooltip="capital.gr" w:history="1">
        <w:proofErr w:type="gramStart"/>
        <w:r w:rsidRPr="00D3164B">
          <w:rPr>
            <w:rFonts w:ascii="Segoe UI Semibold" w:eastAsia="Times New Roman" w:hAnsi="Segoe UI Semibold" w:cs="Segoe UI Semibold"/>
            <w:color w:val="000000"/>
            <w:sz w:val="23"/>
            <w:szCs w:val="23"/>
          </w:rPr>
          <w:t>capital.gr</w:t>
        </w:r>
        <w:proofErr w:type="gramEnd"/>
      </w:hyperlink>
      <w:r>
        <w:rPr>
          <w:rFonts w:ascii="Segoe UI Semibold" w:eastAsia="Times New Roman" w:hAnsi="Segoe UI Semibold" w:cs="Segoe UI Semibold"/>
          <w:color w:val="000000"/>
          <w:sz w:val="23"/>
          <w:szCs w:val="23"/>
        </w:rPr>
        <w:t xml:space="preserve"> 07-01-2018 </w:t>
      </w:r>
    </w:p>
    <w:p w:rsidR="00D3164B" w:rsidRPr="00D3164B" w:rsidRDefault="00D3164B" w:rsidP="00D316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l-GR"/>
        </w:rPr>
      </w:pPr>
      <w:r w:rsidRPr="00D3164B">
        <w:rPr>
          <w:rFonts w:ascii="Segoe UI" w:eastAsia="Times New Roman" w:hAnsi="Segoe UI" w:cs="Segoe UI"/>
          <w:noProof/>
          <w:color w:val="333333"/>
          <w:sz w:val="23"/>
          <w:szCs w:val="23"/>
        </w:rPr>
        <w:drawing>
          <wp:inline distT="0" distB="0" distL="0" distR="0">
            <wp:extent cx="3604260" cy="2263140"/>
            <wp:effectExtent l="0" t="0" r="0" b="3810"/>
            <wp:docPr id="1" name="Picture 1" descr="https://img-s-msn-com.akamaized.net/tenant/amp/entityid/BBI0s73.img?h=239&amp;w=378&amp;m=6&amp;q=60&amp;o=f&amp;l=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s-msn-com.akamaized.net/tenant/amp/entityid/BBI0s73.img?h=239&amp;w=378&amp;m=6&amp;q=60&amp;o=f&amp;l=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Από τον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 xml:space="preserve">Χάρη </w:t>
      </w:r>
      <w:proofErr w:type="spellStart"/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>Φλουδόπουλο</w:t>
      </w:r>
      <w:proofErr w:type="spellEnd"/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Μπορεί το 2018 να αποδειχθεί μια χρονιά κατά την οποία όλοι οι επιμέρους κλάδοι της ναυτιλίας θα επιστρέψουν σε ρυθμούς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ανάκαμψης και κερδοφορίας; Η απάντηση, σύμφωνα με τις προβλέψεις των αναλυτών, είναι θετική. Αυτό τουλάχιστον καταγρά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φεται και στην έκθεση για το 2018 που εκδίδει κάθε χρόνο το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’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" και η οποία αποτελεί σημείο αναφοράς για τον κλάδο. Προϋπόθεση για να επιβεβαιωθούν τα θετικά σενά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ρια είναι να αποφευχθούν τα λάθη του παρελθόντος. Ωστό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σο, είναι σαφές ότι για το ξηρό φορτίο οι προσδοκίες παρα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μένουν υψηλές, ενώ και για τα δεξαμενόπλοια υπάρχουν ισχυρά σημάδια σταθεροποί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ησης. Για τα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containerships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οι ανακατατάξεις σε επίπεδο συμμαχιών φέρνουν ομαλοποίηση, ενώ ξεχωρίζουν επί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σης οι θετικές εκτιμήσεις για την αγορά του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 xml:space="preserve">Παραμένει 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bullish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 xml:space="preserve"> η αγορά του ξηρού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Για πρώτη φορά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εδώ και πολλά χρόνια, η ισορροπία ζήτη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σης για μεταφορές και προσφοράς τονάζ στο ξηρό φορτίο μπορεί να αποκατασταθεί, συναινούν οι εκτιμήσεις των πε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ρισσότερων αναλυτών.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Η αισιοδοξία φαίνεται να έχει επιστρέψει στην αγορά του ξηρού ως αποτέλεσμα και της αύξησης στο παγκόσμιο εμπόριο, η οποία έχει ξεπεράσει για πρώτη φορά τα τελευ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ταία χρόνια τον ρυθμό ανάπτυξης της παγκόσμιας οικονομί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ας. Αλλά και η αύξηση του στόλου στο ξηρό φορτίο βρίσκεται σε χαμηλό 13 ετών. Ο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Baltic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Dry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Index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πλησιάζει τα υψηλά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lastRenderedPageBreak/>
        <w:t>τριετίας, ενώ οι πλοιοκτήτες ποντάρουν σε περαιτέρω ανά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πτυξη. Χαρακτηριστική είναι η έρευνα του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'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" που καταγράφει συναίνεση των αναλυτών για ανοδική τάση των ναύλων των 2018 σε επίπεδα πολύ υψηλότερα από τα λειτουργικά κόστη.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Σε σχέση με τον παράγοντα "Κίνα", οι αναλυτές εκτιμούν ότι η πολιτική του Πεκίνου για μετασχηματισμό της οικονομίας και μείωση των εκπομπών ρύπων μπορεί να οδηγήσει σε μείωση των εισαγωγών χάλυβα και άνθρακα ή στην αναζήτηση προϊ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όντων υψηλότερης ποιότητας για την κάλυψη των τεράστιων αναγκών της κινεζικής οικονομίας. Ωστόσο, το γεγονός ότι η Κίνα αποφάσισε το κλείσιμο μεγάλου αριθμού εγχώριων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χαλυβουργίων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βιομηχανιών αλουμινίου και ορυχείων άνθρα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κα θα αυξήσει περαιτέρω τη ζήτηση για εισαγωγές προϊ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όντων κυρίως από την Αυστραλία, τις ΗΠΑ, τη Ν. Αφρική και θα πιέσει προς τα πάνω τις τιμές των ναύλων.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Σε ό,τι αφορά τις προβλέψεις του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'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" για τα ναύλα, αναμένεται αύξηση για όλες τις κατηγορίες των φορτηγών: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-Για τα μεγάλα φορτηγά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Capesize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, από ναύλα 7.161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δολ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./ημέρα το 2016 και 14.176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δολ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./ημέρα το 2017, για το 2018 αναμένεται περαιτέρω ενίσχυση στα 15.362 δολάρια/ημέρα.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-Για τα φορτηγά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Panamax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από 6.082 δολάρια/ημέρα το 2016 και 10.125 δολάρια/ημέρα το 2017, για το 2018 αναμένεται τα μέσα ημερήσια ναύλα να κινηθούν στα 11.633 δολάρια/ημέρα.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-Για τα φορτηγά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Supramax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το 2016 τα έσοδα κινήθηκαν στα 6.1 38 δολάρια/ημέρα και το 2017 στα 9.327 δολάρια/ημέρα. Το 2018 αναμένεται να ξεπεράσουν τα 10.000, στα 10.368 δολάρια/ημέρα.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-Θετική είναι η εκτίμηση και για τα μικρότερα φορτηγά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Handysize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που, από 5.245 δολάρια/ημέρα το 2016 και 7.686 δολάρια/ημέρα το 2017, αναμένεται να φτάσουν στα 8.481 δολάρια/ημέρα το 2018.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>Τάνκερ: Έπιασε πάτο η αγορά; Οι θετικές ενδείξεις και οι απειλές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Η κρίσιμη ερώτηση για την αγορά των δεξα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μενόπλοιων μεταφοράς αργού είναι εάν το 2017 τα ναύλα έπιασαν πάτο ή υπάρχει πε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ριθώριο για ακόμα χαμηλότερα. Τα στοιχήματα των αναλυτών αλλά και των πλοιοκτητών ποικίλλουν, ωστόσο, εάν τελικά αποδειχθεί ότι το 2017 ήταν η χειρότερη χρονιά, τότε το 2018 θα είναι έτος σταθεροποίησης και σταδιακής ανάκαμψης των ναύλων.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Όσοι θεωρούν πως η ναυλαγορά στα τάνκερ θα κινηθεί ανοδικά έχουν μια σειρά από καλούς λόγους να υποστηρίξουν το επιχείρημά τους: Καταρχάς, η συνεχιζόμενη αύξηση των αμερικανικών εξαγωγών αργού, η ανάκαμ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ψη των εξαγωγών της Νιγηρίας και της Λιβύ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ης, σε συνδυασμό με την αμείωτη ζήτηση για ενέργεια από την πλευρά της Κίνας.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lastRenderedPageBreak/>
        <w:t>Την</w:t>
      </w:r>
      <w:bookmarkStart w:id="0" w:name="_GoBack"/>
      <w:bookmarkEnd w:id="0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ίδια στιγμή, βεβαίως, η ισορροπία της ζήτησης μπορεί εύκολα να διαταραχθεί από τον υψηλό ρυθμό των παραγγελιών για νέα πλοία. Και, φυσικά, πολλά θα εξαρτηθούν από τη στάση που θα τηρήσει ο ΟΠΕΚ και από το εάν θα αποφασίσει περαιτέρω μείωση της παρα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γωγής για να υποστηρίξει τις τιμές του αργού.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Σε ό,τι αφορά τις κινεζικές εισαγωγές, οι ναυλομεσιτικοί οίκοι αναμένουν αύξηση 8%, στους 424 εκατ. τόνους το 2018.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Στον αντίποδα παραμένει η απειλή της υπερπροσφοράς τονάζ: Σύμφωνα με τον ναυλομεσιτικό οίκο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Clarksons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, το 2018 αναμένεται να παραδοθούν 46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VLCCs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, 35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Suezmax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και 63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Aframax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. Οι παραγγελίες του 201 7, πάντως, έφτασαν τα 6,3 δισ., νούμερο που δείχνει ότι οι περισσότεροι πλοιοκτήτες ποντάρουν στο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bullish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σενάριο της αγοράς.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Η εκτίμηση του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'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 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" για τα ναύλα των τάνκερ δείχνει σταθεροποίηση: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Για τα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υπερδεξαμενόπλοια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VLCC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από τα 41.666 δολάρια/ημέρα το 2016 και τα 24.048 δολάρια/ημέρα το 2017, για το 2018 αναμένεται μέσο ναύλο στα 26.240 δολά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ρια/ημέρα.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Για τα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Suezmax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από τα 25.626 δολάρια/ημέρα το 2016 και τα 15.968 δολάρια/ημέρα το 2017, για το 2018 αναμένεται τα ναύλα να διαμορφωθούν στα 19.012 δολάρια/ημέρα.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Τέλος, και για τα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Aframax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αναμένεται η ίδια εικόνα, δηλαδή βελτίωση σε σχέση με το 2017, αλλά παραμονή των ναύλων κάτω από τα υψηλά του 2016, στα 15.648 δολάρια/ημέ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ρα (από 20.090 δολάρια/ημέρα το 2016 και 13.182 δολάρια/ημέρα το 2017).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 xml:space="preserve">Η ελληνική παροικία στο 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Top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>-100 της παγκόσμιας ναυτιλίας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Και φέτος η ελληνική εκπροσώπηση στη λίστα που καταρτί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ζει κάθε χρόνο το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'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" για το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Top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-100 της παγκό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σμιας ναυτιλίας ήταν ισχυρή. Συνολικά 14 Έλληνες συγκα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ταλέγονται μεταξύ των 100 πιο ισχυρών ανθρώπων και οργανισμών του κλάδου. Μάλιστα, ο Γιάννης Αγγελικούσης πα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ραμένει ο μεγαλύτερος ιδιώτης εφοπλιστής, ενώ Γ. Προκό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πιου, Αγγελική Φράγκου, Γ. Οικονόμου, Π. Λιβανός, Π. Παππάς, Ν. Τσάκος, Κ. Κωνσταντακόπουλος, Θ. Βενιάμης, Ευ. Μαρινάκης, Π. Γεωργιόπουλος, Γ.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Πλατσιδάκης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Π. Λασκαρίδης και Δ. Θεοδοσίου συμπληρώνουν την ελληνική παροι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κία του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Top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-100 του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'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".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LNG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>: Σε τροχιά ανάπτυξης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Συμφώνα με τα στοιχεία του "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Lloyds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List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", το θαλάσσιο εμπόριο υγροποιη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μένου φυσικού αερίου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αυξήθηκε κατά 12%, την ίδια στιγμή που ο στό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λος διευρύνθηκε κατά 7,5%. Τα μέσα ημερήσια έσοδα αναμένεται να φτάσουν το 2018 για τα μεγαλύτερα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carriers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(150.000-180.000 κυβικά μέτρα) στα 55.429 δολάρια/ημέρα, από τα 40.138 δολάρια/ημέρα το 2017 και τα 29.055 δολάρια/ημέρα το 2016.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Την επόμενη χρονιά αναμένεται να λειτουργούν 4 νέα παραγωγικά τερματι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κά φυσικού αερίου, σε Αυστραλία, ΗΠΑ, Ρωσία και Καμερούν. Μόνο για αυτά τα νέα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projects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θα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lastRenderedPageBreak/>
        <w:t xml:space="preserve">απαιτηθούν 23 επιπλέον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carriers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. Σε μακροπρόθεσμο ορίζοντα, η αγορά μεταφοράς φυσικού αερίου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LNG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θα πρέπει να απαντήσει σε θέματα χρηματοδότησης αλλά και τεχνολογίας, ωστόσο σε βραχυπρόθεσμο ορίζοντα ο στόλος αναμένεται να συνεχίσει να αυξάνεται κατά 9,9% το 2018 και 7% το 2019.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Containerships</w:t>
      </w: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>: Νέο τοπίο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Ο πόλεμος των τιμών και των μεριδίων τα τελευταία χρόνια στην αγορά των φορτηγών πλοίων μεταφοράς εμπορευματοκιβωτίων προκάλεσε τεράστιες οικονομικές ζημίες, με αποτέλεσμα να έχουμε εμβληματικές χρε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οκοπίες, όπως της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Hanjin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. Αλλά και όσοι παί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κτες επιβίωσαν συνειδητοποίησαν την ανάγκη να δημιουργήσουν νέες συμμαχίες, ώστε να μην έχουν την τύχη της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Hanjin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. Κάπως έτσι, η αγορά των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containerships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με το κλείσιμο του 2017, φαίνεται ότι ολοκληρώνει τον τερά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στιο κύκλο των συγχωνεύσεων και εξα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γορών. Το ερώτημα για την επόμενη χρονιά είναι εάν οι παίκτες που ξεπέρασαν την κρί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ση θα καταφέρουν να ανακτήσουν τον έλεγ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χο των τιμών και να πετύχουν επιστροφή σε ισχυρές αποδόσεις.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Στο τέλος του 2017, πάντως, υπήρξαν θετικά σημάδια στο κομμάτι των ναύλων, που ενισχύθηκαν από την παύση των νέων παραγγελιών πλοίων. Πρακτικά, δεν υπήρ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ξαν νέες παραγγελίες πλοίων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containerships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το 2016 και το μεγαλύτερο μέρος του 2017. Η εικόνα άλλαξε στα τέλη του έτους από τις παραγγελίες των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CMA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και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MSC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για πλοία χω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ρητικότητας 22.000 ΤΕ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Us 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αξίας κοντά στα 3 δισ. δολάρια. Εάν οι παραγγελίες αυτές αποδειχθούν η αρχή για έναν νέο γύρο, τότε οι αναλυτές εκφράζουν ανησυχία ότι θα τεθεί σε κίνδυνο η εύθραυστη ανάκαμψη της αγοράς. Παρά το ότι σταμάτησαν οι νέες παραγγελίες, ένας μεγάλος αριθμός νέων μεγάλων φορτη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γών, πάνω από 18.000 ΤΕ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Us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βρίσκεται σε αναμονή (παραγγελίες παλαιότερων ετών) για να μπει στις γραμμές Ασίας-Ευρώπης: Από 47 μεγάλα πλοία σε λειτουργία στις αρ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χές του 2017, στα τέλη του 2018 αναμένε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ται να φτάσουμε τα 100 πλοία.</w:t>
      </w:r>
    </w:p>
    <w:p w:rsidR="00D3164B" w:rsidRPr="00D3164B" w:rsidRDefault="00D3164B" w:rsidP="00D3164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l-GR"/>
        </w:rPr>
        <w:t>Βλέπουν άνοδο και αγοράζουν οι Έλληνες εφοπλιστές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Οι Έλληνες εφοπλιστές θεωρούνται οι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trendmakers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του κλά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δου και, υπό αυτή την έννοια, οι κινήσεις που κάνουν στο κομμάτι των αγοραπωλησιών απο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τελούν ακόμα μία ένδειξη για τις τάσεις της αγοράς. Έτσι, οι προσδοκίες για βελτίωση της ναυλαγο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ράς σε συνδυασμό με την υποχώρηση των τιμών σε νεότευκτα και μεταχειρι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σμένα οδήγησαν σε δυ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ναμική επαναδραστηριοποίηση των Ελλήνων εφοπλιστών στις αγορές μεταχειρισμένων και τις παραγγελίες νεότευκτων.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Σύμφωνα με την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Allied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Shipping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Research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διατέθηκαν το 2017 4,4 δισ. για 271 πλοία από Έλλη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νες εφοπλιστές. Σύμ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φωνα με στοιχεία της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VesselsValue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στην κο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ρυφή των Ελλήνων αγο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ραστών μεταχειρισμέ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νων πλοίων βρίσκεται η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DryShips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(Γ. Οικονό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μου), η οποία απέκτησε 12 φορτηγά αξίας 367 εκατ. δολαρίων. Ακολου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θεί η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Olympic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Shipping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Management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, του Ιδρύ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ματος Ωνάση, η οποία απέκτησε 4 τάνκερ αξί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ας 274 εκατ. δολαρίων, ενώ την πρώτη πεντάδα στις αγορές μεταχειρι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σμένων συμπληρώνουν η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Navios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Maritime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containers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(Φράγκου) με 171 εκατ. δολάρια, η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Capital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Maritime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Trading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(Β.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lastRenderedPageBreak/>
        <w:t>Μα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ρινάκης) με 165 εκατ. δολάρια και η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Allseas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Marine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(Μ.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Μποδούρογλου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) με 100 εκατ. δολάρια.</w:t>
      </w:r>
    </w:p>
    <w:p w:rsidR="00D3164B" w:rsidRPr="00D3164B" w:rsidRDefault="00D3164B" w:rsidP="00D31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</w:pP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Σε ό,τι αφορά τις παραγγελίες νε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ότευκτων, στην κορυφή της ελληνι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κής λίστας βρίσκεται η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Maran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Tankers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(Αγ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γελικούσης) με 7 τάν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 xml:space="preserve">κερ αξίας 560 εκατ. δολαρίων, ακολουθεί η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Chartworld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Shipping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(Λ.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>Κολλάκης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) με 455 εκατ. δολάρια, η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Capital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Maritime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Trading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με 340 εκατ. δολάρια, η </w:t>
      </w:r>
      <w:proofErr w:type="spellStart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Enesel</w:t>
      </w:r>
      <w:proofErr w:type="spellEnd"/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(Σ. Λαιμός) με 332 εκατ. δολάρια και η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TMS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</w:rPr>
        <w:t>Tankers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t xml:space="preserve"> (Οικο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νόμου) με 300 εκατ. δο</w:t>
      </w:r>
      <w:r w:rsidRPr="00D3164B">
        <w:rPr>
          <w:rFonts w:ascii="Times New Roman" w:eastAsia="Times New Roman" w:hAnsi="Times New Roman" w:cs="Times New Roman"/>
          <w:color w:val="333333"/>
          <w:sz w:val="24"/>
          <w:szCs w:val="24"/>
          <w:lang w:val="el-GR"/>
        </w:rPr>
        <w:softHyphen/>
        <w:t>λάρια.</w:t>
      </w:r>
    </w:p>
    <w:p w:rsidR="00D3164B" w:rsidRPr="00D3164B" w:rsidRDefault="00D3164B" w:rsidP="00D3164B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3164B" w:rsidRPr="00D316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4B"/>
    <w:rsid w:val="0066186B"/>
    <w:rsid w:val="00D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0B237-CD1D-4FB3-83C0-3EB3F4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tnerlogo-img">
    <w:name w:val="partnerlogo-img"/>
    <w:basedOn w:val="DefaultParagraphFont"/>
    <w:rsid w:val="00D3164B"/>
  </w:style>
  <w:style w:type="character" w:styleId="Hyperlink">
    <w:name w:val="Hyperlink"/>
    <w:basedOn w:val="DefaultParagraphFont"/>
    <w:uiPriority w:val="99"/>
    <w:semiHidden/>
    <w:unhideWhenUsed/>
    <w:rsid w:val="00D3164B"/>
    <w:rPr>
      <w:color w:val="0000FF"/>
      <w:u w:val="single"/>
    </w:rPr>
  </w:style>
  <w:style w:type="character" w:customStyle="1" w:styleId="truncate">
    <w:name w:val="truncate"/>
    <w:basedOn w:val="DefaultParagraphFont"/>
    <w:rsid w:val="00D3164B"/>
  </w:style>
  <w:style w:type="character" w:customStyle="1" w:styleId="stb-text">
    <w:name w:val="stb-text"/>
    <w:basedOn w:val="DefaultParagraphFont"/>
    <w:rsid w:val="00D3164B"/>
  </w:style>
  <w:style w:type="character" w:customStyle="1" w:styleId="attribution">
    <w:name w:val="attribution"/>
    <w:basedOn w:val="DefaultParagraphFont"/>
    <w:rsid w:val="00D3164B"/>
  </w:style>
  <w:style w:type="paragraph" w:styleId="NormalWeb">
    <w:name w:val="Normal (Web)"/>
    <w:basedOn w:val="Normal"/>
    <w:uiPriority w:val="99"/>
    <w:semiHidden/>
    <w:unhideWhenUsed/>
    <w:rsid w:val="00D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ital.gr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apital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</cp:revision>
  <dcterms:created xsi:type="dcterms:W3CDTF">2018-01-08T07:00:00Z</dcterms:created>
  <dcterms:modified xsi:type="dcterms:W3CDTF">2018-01-08T07:05:00Z</dcterms:modified>
</cp:coreProperties>
</file>