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B08" w:rsidRPr="00B87E73" w:rsidRDefault="002F7B08" w:rsidP="002F7B08">
      <w:pPr>
        <w:rPr>
          <w:rFonts w:ascii="Arial" w:hAnsi="Arial" w:cs="Arial"/>
        </w:rPr>
      </w:pPr>
      <w:r w:rsidRPr="00B87E73">
        <w:rPr>
          <w:rFonts w:ascii="Arial" w:hAnsi="Arial" w:cs="Arial"/>
          <w:b/>
          <w:u w:val="single"/>
        </w:rPr>
        <w:t>Άσκηση 3:</w:t>
      </w:r>
      <w:r w:rsidRPr="00B87E73">
        <w:rPr>
          <w:rFonts w:ascii="Arial" w:hAnsi="Arial" w:cs="Arial"/>
        </w:rPr>
        <w:t xml:space="preserve"> Πληκτρολογήστε σε ένα νέο αρχείο </w:t>
      </w:r>
      <w:r w:rsidRPr="00B87E73">
        <w:rPr>
          <w:rFonts w:ascii="Arial" w:hAnsi="Arial" w:cs="Arial"/>
          <w:lang w:val="en-US"/>
        </w:rPr>
        <w:t>word</w:t>
      </w:r>
      <w:r w:rsidRPr="00B87E73">
        <w:rPr>
          <w:rFonts w:ascii="Arial" w:hAnsi="Arial" w:cs="Arial"/>
        </w:rPr>
        <w:t xml:space="preserve"> το κείμενο από τις ενότητες «Ίδρυση - Ταυτότητα» και «Προπτυχιακό Πρόγραμμα Σπουδών» της παρακάτω πηγής:</w:t>
      </w:r>
      <w:r w:rsidR="00F4662D">
        <w:rPr>
          <w:rFonts w:ascii="Arial" w:hAnsi="Arial" w:cs="Arial"/>
        </w:rPr>
        <w:t xml:space="preserve"> </w:t>
      </w:r>
      <w:hyperlink r:id="rId4" w:history="1">
        <w:r w:rsidR="00F4662D" w:rsidRPr="00F4662D">
          <w:rPr>
            <w:rStyle w:val="-"/>
            <w:rFonts w:ascii="Arial" w:hAnsi="Arial" w:cs="Arial"/>
          </w:rPr>
          <w:t>https://www.dept.aueb.gr/el/loxri-overview</w:t>
        </w:r>
      </w:hyperlink>
      <w:r>
        <w:rPr>
          <w:rFonts w:ascii="Arial" w:hAnsi="Arial" w:cs="Arial"/>
        </w:rPr>
        <w:t xml:space="preserve"> </w:t>
      </w:r>
    </w:p>
    <w:p w:rsidR="002F7B08" w:rsidRPr="00B87E73" w:rsidRDefault="002F7B08" w:rsidP="002F7B08">
      <w:pPr>
        <w:spacing w:before="100" w:beforeAutospacing="1" w:after="100" w:afterAutospacing="1" w:line="240" w:lineRule="auto"/>
        <w:outlineLvl w:val="2"/>
        <w:rPr>
          <w:rFonts w:ascii="Arial" w:eastAsia="Times New Roman" w:hAnsi="Arial" w:cs="Arial"/>
          <w:b/>
          <w:bCs/>
          <w:lang w:eastAsia="el-GR"/>
        </w:rPr>
      </w:pPr>
      <w:r w:rsidRPr="00B87E73">
        <w:rPr>
          <w:rFonts w:ascii="Arial" w:eastAsia="Times New Roman" w:hAnsi="Arial" w:cs="Arial"/>
          <w:b/>
          <w:bCs/>
          <w:lang w:eastAsia="el-GR"/>
        </w:rPr>
        <w:t>Ίδρυση – Ταυτότητα</w:t>
      </w:r>
    </w:p>
    <w:p w:rsidR="002F7B08" w:rsidRPr="00F4662D" w:rsidRDefault="00F4662D" w:rsidP="002F7B08">
      <w:pPr>
        <w:spacing w:before="100" w:beforeAutospacing="1" w:after="100" w:afterAutospacing="1" w:line="240" w:lineRule="auto"/>
        <w:rPr>
          <w:rFonts w:ascii="Times New Roman" w:eastAsia="Times New Roman" w:hAnsi="Times New Roman" w:cs="Times New Roman"/>
          <w:sz w:val="24"/>
          <w:szCs w:val="24"/>
          <w:lang w:eastAsia="el-GR"/>
        </w:rPr>
      </w:pPr>
      <w:r w:rsidRPr="00F4662D">
        <w:rPr>
          <w:rFonts w:ascii="Times New Roman" w:eastAsia="Times New Roman" w:hAnsi="Times New Roman" w:cs="Times New Roman"/>
          <w:sz w:val="24"/>
          <w:szCs w:val="24"/>
          <w:lang w:eastAsia="el-GR"/>
        </w:rPr>
        <w:t>Το Τμήμα Λογιστικής και Χρηματοοικονομικής του Οικονομικού Πανεπιστημίου Αθηνών είναι ένα νέο Τμήμα, το οποίο ιδρύθηκε το ακαδημαϊκό έτος 1999-2000 με συγχρηματοδότηση από το ΥΠΕΠΘ και την Ευρωπαϊκή Ένωση. Κύριος σκοπός του Τμήματος είναι η προαγωγή της γνώσης και της έρευνας στα γνωστικά αντικείμενα της Λογιστικής και της Χρηματοοικονομικής.</w:t>
      </w:r>
    </w:p>
    <w:p w:rsidR="002F7B08" w:rsidRPr="00B87E73" w:rsidRDefault="002F7B08" w:rsidP="002F7B08">
      <w:pPr>
        <w:pStyle w:val="3"/>
        <w:rPr>
          <w:rFonts w:ascii="Arial" w:hAnsi="Arial" w:cs="Arial"/>
          <w:sz w:val="22"/>
          <w:szCs w:val="22"/>
        </w:rPr>
      </w:pPr>
      <w:r w:rsidRPr="00B87E73">
        <w:rPr>
          <w:rFonts w:ascii="Arial" w:hAnsi="Arial" w:cs="Arial"/>
          <w:sz w:val="22"/>
          <w:szCs w:val="22"/>
        </w:rPr>
        <w:t>Προπτυχιακό Πρόγραμμα Σπουδών</w:t>
      </w:r>
    </w:p>
    <w:p w:rsidR="00F4662D" w:rsidRDefault="00F4662D" w:rsidP="00F4662D">
      <w:pPr>
        <w:pStyle w:val="Web"/>
      </w:pPr>
      <w:r>
        <w:t>Το Τμήμα προσφέροντας υψηλού επιπέδου σπουδές σε ένα επιστημονικό πεδίο με μεγάλη ζήτηση, έχει δημιουργήσει ένα σύγχρονο και καλά δομημένο Πρόγραμμα Σπουδών, το οποίο ακολουθεί τα πρότυπα των αντίστοιχων Προγραμμάτων των καλύτερων Πανεπιστημίων της Ευρώπ</w:t>
      </w:r>
      <w:bookmarkStart w:id="0" w:name="_GoBack"/>
      <w:bookmarkEnd w:id="0"/>
      <w:r>
        <w:t>ης και της Αμερικής. Το Πρόγραμμα αυτό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 Ειδικότερα, το Πρόγραμμα παρέχει άρτια κατάρτιση των φοιτητών σε θέματα σχετικά με τη χρηματοοικονομική λειτουργία, καθώς και την οργάνωση και λειτουργία των λογιστικών και ελεγκτικών υπηρεσιών των επιχειρήσεων του ιδιωτικού και δημόσιου Τομέα.</w:t>
      </w:r>
    </w:p>
    <w:p w:rsidR="00F4662D" w:rsidRDefault="00F4662D" w:rsidP="00F4662D">
      <w:pPr>
        <w:pStyle w:val="Web"/>
      </w:pPr>
      <w:r>
        <w:t>Επιπλέον, οι φοιτητές του Τμήματος αποκτούν εξειδικευμένες γνώσεις σχετικές με τη λειτουργία των διαφόρων Πιστωτικών Ιδρυμάτων, καθώς και των Αγορών Χρήματος και Κεφαλαίου. 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Μάνατζμεντ, Μαθηματικά-Στατιστική, Επιστήμη των Υπολογιστών, Δίκαιο των Επιχειρήσεων κ.ά. και παρέχουν τις απαραίτητες θεωρητικές γνώσεις και πρακτικές εφαρμογές για την πληρέστερη κατανόηση του περιβάλλοντος, μέσα στο οποίο λειτουργούν οι επιχειρήσεις. Τα μαθήματα κατεύθυνσης προσφέρουν επιστημονικές γνώσεις αιχμής στα γνωστικά αντικείμενα της Λογιστικής και της Χρηματοοικονομικής, συνδέουν άριστα τη θεωρία με την πράξη και δίνουν στον φοιτητή τη δυνατότητα εμβάθυνσης στους αντίστοιχους τομείς.</w:t>
      </w:r>
    </w:p>
    <w:p w:rsidR="00F4662D" w:rsidRDefault="00F4662D" w:rsidP="00F4662D">
      <w:pPr>
        <w:pStyle w:val="Web"/>
      </w:pPr>
      <w:r>
        <w:t xml:space="preserve">Για τη λήψη Πτυχίου στο Τμήμα Λογιστικής και Χρηματοοικονομικής απαιτείται επιτυχής εξέταση σε 40 μαθήματα. Από το 5ο εξάμηνο το Πρόγραμμα Σπουδών προβλέπει δύο κατευθύνσεις: την κατεύθυνση </w:t>
      </w:r>
      <w:r>
        <w:rPr>
          <w:rStyle w:val="a4"/>
        </w:rPr>
        <w:t xml:space="preserve">Λογιστικής </w:t>
      </w:r>
      <w:r>
        <w:t xml:space="preserve">και την κατεύθυνση </w:t>
      </w:r>
      <w:r>
        <w:rPr>
          <w:rStyle w:val="a4"/>
        </w:rPr>
        <w:t>Χρηματοοικονομικής</w:t>
      </w:r>
      <w:r>
        <w:t>. Στην κατεύθυνση Λογιστικής τα υποχρεωτικά μαθήματα είναι 10 και τα κατ’ επιλογήν υποχρεωτικά 10, ενώ στην κατεύθυνση Χρηματοοικονομικής τα υποχρεωτικά μαθήματα είναι 12 και τα κατ’ επιλογήν υποχρεωτικά είναι 8. Όλα τα μαθήματα του Προγράμματος Σπουδών διδάσκονται τέσσερις ώρες ανά εβδομάδα.</w:t>
      </w:r>
    </w:p>
    <w:p w:rsidR="00F4662D" w:rsidRDefault="00F4662D" w:rsidP="00F4662D">
      <w:pPr>
        <w:pStyle w:val="Web"/>
      </w:pPr>
      <w:r>
        <w:t>Τέλος, οι φοιτητές του Τμήματος έχουν τη δυνατότητα να παρακολουθήσουν το </w:t>
      </w:r>
      <w:hyperlink r:id="rId5" w:tgtFrame="_blank" w:history="1">
        <w:r>
          <w:rPr>
            <w:rStyle w:val="-"/>
          </w:rPr>
          <w:t>Πρόγραμμα στις Επιστήμες της Αγωγής και της Εκπαίδευσης</w:t>
        </w:r>
      </w:hyperlink>
      <w:r>
        <w:t xml:space="preserve">, το οποίο οδηγεί στη λήψη του Πιστοποιητικού Παιδαγωγικής και Διδακτικής Επάρκειας, πράγμα το οποίο εξασφαλίζει τη δυνατότητα συμμετοχής των αποφοίτων σε διαγωνισμούς ΑΣΕΠ </w:t>
      </w:r>
      <w:r>
        <w:lastRenderedPageBreak/>
        <w:t>Εκπαιδευτικών, καθώς επίσης, την απασχόλησή τους ως εκπαιδευτικών σε δραστηριότητες που απαιτείται παιδαγωγική και διδακτική επάρκεια.</w:t>
      </w:r>
    </w:p>
    <w:p w:rsidR="00B83D68" w:rsidRPr="002F7B08" w:rsidRDefault="00B83D68" w:rsidP="002F7B08">
      <w:pPr>
        <w:pStyle w:val="Web"/>
        <w:rPr>
          <w:rFonts w:ascii="Arial" w:hAnsi="Arial" w:cs="Arial"/>
          <w:sz w:val="22"/>
          <w:szCs w:val="22"/>
        </w:rPr>
      </w:pPr>
    </w:p>
    <w:sectPr w:rsidR="00B83D68" w:rsidRPr="002F7B08" w:rsidSect="00B87E73">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B08"/>
    <w:rsid w:val="00000160"/>
    <w:rsid w:val="000006E5"/>
    <w:rsid w:val="000014F5"/>
    <w:rsid w:val="0000264E"/>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40466"/>
    <w:rsid w:val="0004090F"/>
    <w:rsid w:val="000421F9"/>
    <w:rsid w:val="000423F7"/>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5201"/>
    <w:rsid w:val="000B535B"/>
    <w:rsid w:val="000B7397"/>
    <w:rsid w:val="000B79B7"/>
    <w:rsid w:val="000C0417"/>
    <w:rsid w:val="000C04FF"/>
    <w:rsid w:val="000C0563"/>
    <w:rsid w:val="000C107D"/>
    <w:rsid w:val="000C1EB3"/>
    <w:rsid w:val="000C33DF"/>
    <w:rsid w:val="000C49F9"/>
    <w:rsid w:val="000C4D01"/>
    <w:rsid w:val="000C62CD"/>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2F7B08"/>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C20"/>
    <w:rsid w:val="00400242"/>
    <w:rsid w:val="004003D3"/>
    <w:rsid w:val="00400790"/>
    <w:rsid w:val="00400D6C"/>
    <w:rsid w:val="00400E90"/>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93A"/>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3F95"/>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11A"/>
    <w:rsid w:val="005716A5"/>
    <w:rsid w:val="00571A78"/>
    <w:rsid w:val="00573E38"/>
    <w:rsid w:val="005747A6"/>
    <w:rsid w:val="00574CA6"/>
    <w:rsid w:val="00575685"/>
    <w:rsid w:val="0057639A"/>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BC0"/>
    <w:rsid w:val="00633C86"/>
    <w:rsid w:val="006342E7"/>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CB3"/>
    <w:rsid w:val="006730F5"/>
    <w:rsid w:val="00673D9F"/>
    <w:rsid w:val="00674DB8"/>
    <w:rsid w:val="00675011"/>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AF2"/>
    <w:rsid w:val="006E7B9A"/>
    <w:rsid w:val="006E7C39"/>
    <w:rsid w:val="006F01BD"/>
    <w:rsid w:val="006F05CE"/>
    <w:rsid w:val="006F0E39"/>
    <w:rsid w:val="006F0EBE"/>
    <w:rsid w:val="006F0EF6"/>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598"/>
    <w:rsid w:val="009C78D0"/>
    <w:rsid w:val="009C7A09"/>
    <w:rsid w:val="009C7A3B"/>
    <w:rsid w:val="009D02C4"/>
    <w:rsid w:val="009D04BA"/>
    <w:rsid w:val="009D132E"/>
    <w:rsid w:val="009D20D3"/>
    <w:rsid w:val="009D2125"/>
    <w:rsid w:val="009D2E0C"/>
    <w:rsid w:val="009D34B9"/>
    <w:rsid w:val="009D3C77"/>
    <w:rsid w:val="009D4496"/>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6853"/>
    <w:rsid w:val="00A77104"/>
    <w:rsid w:val="00A776C8"/>
    <w:rsid w:val="00A77B74"/>
    <w:rsid w:val="00A77BBB"/>
    <w:rsid w:val="00A81F70"/>
    <w:rsid w:val="00A841B1"/>
    <w:rsid w:val="00A85CF9"/>
    <w:rsid w:val="00A85E44"/>
    <w:rsid w:val="00A8666F"/>
    <w:rsid w:val="00A86901"/>
    <w:rsid w:val="00A86CF9"/>
    <w:rsid w:val="00A86E33"/>
    <w:rsid w:val="00A87E3A"/>
    <w:rsid w:val="00A904C2"/>
    <w:rsid w:val="00A91594"/>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FC8"/>
    <w:rsid w:val="00D45349"/>
    <w:rsid w:val="00D4572E"/>
    <w:rsid w:val="00D45830"/>
    <w:rsid w:val="00D45E1D"/>
    <w:rsid w:val="00D466B4"/>
    <w:rsid w:val="00D46829"/>
    <w:rsid w:val="00D46C27"/>
    <w:rsid w:val="00D46FA1"/>
    <w:rsid w:val="00D50015"/>
    <w:rsid w:val="00D50D1F"/>
    <w:rsid w:val="00D51783"/>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1AB9"/>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6486"/>
    <w:rsid w:val="00E36BAB"/>
    <w:rsid w:val="00E36E82"/>
    <w:rsid w:val="00E371E1"/>
    <w:rsid w:val="00E4073D"/>
    <w:rsid w:val="00E43CD9"/>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62D"/>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276"/>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1C54"/>
  <w15:docId w15:val="{355A6824-D3B6-4E93-8371-F4938ACB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B08"/>
  </w:style>
  <w:style w:type="paragraph" w:styleId="3">
    <w:name w:val="heading 3"/>
    <w:basedOn w:val="a"/>
    <w:link w:val="3Char"/>
    <w:uiPriority w:val="9"/>
    <w:qFormat/>
    <w:rsid w:val="002F7B0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F7B08"/>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2F7B08"/>
    <w:rPr>
      <w:color w:val="0000FF" w:themeColor="hyperlink"/>
      <w:u w:val="single"/>
    </w:rPr>
  </w:style>
  <w:style w:type="paragraph" w:styleId="Web">
    <w:name w:val="Normal (Web)"/>
    <w:basedOn w:val="a"/>
    <w:uiPriority w:val="99"/>
    <w:unhideWhenUsed/>
    <w:rsid w:val="002F7B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Unresolved Mention"/>
    <w:basedOn w:val="a0"/>
    <w:uiPriority w:val="99"/>
    <w:semiHidden/>
    <w:unhideWhenUsed/>
    <w:rsid w:val="00F4662D"/>
    <w:rPr>
      <w:color w:val="605E5C"/>
      <w:shd w:val="clear" w:color="auto" w:fill="E1DFDD"/>
    </w:rPr>
  </w:style>
  <w:style w:type="character" w:styleId="a4">
    <w:name w:val="Strong"/>
    <w:basedOn w:val="a0"/>
    <w:uiPriority w:val="22"/>
    <w:qFormat/>
    <w:rsid w:val="00F46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pt.aueb.gr/sites/default/files/Enimerotiko-Entupo-Progr-Paid-Eparkeias-Oct14.pdf" TargetMode="External"/><Relationship Id="rId4" Type="http://schemas.openxmlformats.org/officeDocument/2006/relationships/hyperlink" Target="https://www.dept.aueb.gr/el/loxri-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2842</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cp:lastModifiedBy>
  <cp:revision>7</cp:revision>
  <dcterms:created xsi:type="dcterms:W3CDTF">2015-10-18T23:54:00Z</dcterms:created>
  <dcterms:modified xsi:type="dcterms:W3CDTF">2020-10-29T16:56:00Z</dcterms:modified>
</cp:coreProperties>
</file>