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361595" w:rsidRDefault="0006316F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ΤΜΗΜΑ ΔΙΕΘΝΩΝ ΕΥΡΩΠΑΪΚΩΝ ΟΙΚΟΝΟΜΙΚΩΝ ΣΠΟΥΔΩΝ</w:t>
      </w:r>
    </w:p>
    <w:p w:rsidR="0006316F" w:rsidRDefault="0006316F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ΠΡΟΓΡΑΜΜΑ ΜΕΤΑΠΤΥΧΙΑΚΩΝ ΣΠΟΥΔΩΝ</w:t>
      </w:r>
    </w:p>
    <w:p w:rsidR="0006316F" w:rsidRDefault="0006316F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ΟΙΚΟΝΟΜΙΚΑ ΚΑΙ ΔΙΚΑΙΟ ΣΤΙΣ ΕΝΕΡΓΕΙΑΚΕΣ ΑΓΟΡΕΣ</w:t>
      </w: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E8104C" w:rsidRDefault="0006316F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ΟΙΚΟΝΟΜΙΚΑ Τ</w:t>
      </w:r>
      <w:r w:rsidR="00E8104C">
        <w:rPr>
          <w:rFonts w:cs="Helvetica"/>
          <w:b/>
          <w:bCs/>
          <w:lang w:val="el-GR"/>
        </w:rPr>
        <w:t>Η</w:t>
      </w:r>
      <w:r>
        <w:rPr>
          <w:rFonts w:cs="Helvetica"/>
          <w:b/>
          <w:bCs/>
          <w:lang w:val="el-GR"/>
        </w:rPr>
        <w:t>Σ ΕΝΕΡΓΕΙΑΣ</w:t>
      </w:r>
    </w:p>
    <w:p w:rsidR="0006316F" w:rsidRDefault="0006316F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ΤΕΛΙΚΗ ΕΞΕΤΑΣΗ</w:t>
      </w: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E8104C" w:rsidRPr="00E8104C" w:rsidRDefault="00E8104C" w:rsidP="00E8104C">
      <w:pPr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 xml:space="preserve">ΗΜΕΡΟΜΗΝΙΑ: </w:t>
      </w:r>
      <w:r>
        <w:rPr>
          <w:rFonts w:cs="Helvetica"/>
          <w:b/>
          <w:bCs/>
          <w:lang w:val="el-GR"/>
        </w:rPr>
        <w:tab/>
      </w:r>
      <w:r w:rsidR="00267750" w:rsidRPr="00267750">
        <w:rPr>
          <w:rFonts w:cs="Helvetica"/>
          <w:b/>
          <w:bCs/>
          <w:lang w:val="el-GR"/>
        </w:rPr>
        <w:t>30</w:t>
      </w:r>
      <w:r>
        <w:rPr>
          <w:rFonts w:cs="Helvetica"/>
          <w:b/>
          <w:bCs/>
          <w:lang w:val="el-GR"/>
        </w:rPr>
        <w:t>/</w:t>
      </w:r>
      <w:r w:rsidR="00267750" w:rsidRPr="00667703">
        <w:rPr>
          <w:rFonts w:cs="Helvetica"/>
          <w:b/>
          <w:bCs/>
          <w:lang w:val="el-GR"/>
        </w:rPr>
        <w:t>06</w:t>
      </w:r>
      <w:r>
        <w:rPr>
          <w:rFonts w:cs="Helvetica"/>
          <w:b/>
          <w:bCs/>
          <w:lang w:val="el-GR"/>
        </w:rPr>
        <w:t>/2020</w:t>
      </w:r>
    </w:p>
    <w:p w:rsidR="00E8104C" w:rsidRDefault="0006316F" w:rsidP="00E8104C">
      <w:pPr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 xml:space="preserve">ΔΙΑΡΚΕΙΑ: </w:t>
      </w:r>
      <w:r w:rsidR="00E8104C">
        <w:rPr>
          <w:rFonts w:cs="Helvetica"/>
          <w:b/>
          <w:bCs/>
          <w:lang w:val="el-GR"/>
        </w:rPr>
        <w:tab/>
      </w:r>
      <w:r w:rsidR="00E8104C">
        <w:rPr>
          <w:rFonts w:cs="Helvetica"/>
          <w:b/>
          <w:bCs/>
          <w:lang w:val="el-GR"/>
        </w:rPr>
        <w:tab/>
      </w:r>
      <w:r>
        <w:rPr>
          <w:rFonts w:cs="Helvetica"/>
          <w:b/>
          <w:bCs/>
          <w:lang w:val="el-GR"/>
        </w:rPr>
        <w:t>18</w:t>
      </w:r>
      <w:r w:rsidRPr="0006316F">
        <w:rPr>
          <w:rFonts w:cs="Helvetica"/>
          <w:b/>
          <w:bCs/>
          <w:lang w:val="el-GR"/>
        </w:rPr>
        <w:t>:00</w:t>
      </w:r>
      <w:r w:rsidR="00235EB0">
        <w:rPr>
          <w:rFonts w:cs="Helvetica"/>
          <w:b/>
          <w:bCs/>
          <w:lang w:val="el-GR"/>
        </w:rPr>
        <w:t xml:space="preserve"> – </w:t>
      </w:r>
      <w:r w:rsidRPr="00E8104C">
        <w:rPr>
          <w:rFonts w:cs="Helvetica"/>
          <w:b/>
          <w:bCs/>
          <w:lang w:val="el-GR"/>
        </w:rPr>
        <w:t>21:00</w:t>
      </w:r>
    </w:p>
    <w:p w:rsidR="009C592D" w:rsidRDefault="009C592D" w:rsidP="00E8104C">
      <w:pPr>
        <w:rPr>
          <w:rFonts w:cs="Helvetica"/>
          <w:b/>
          <w:bCs/>
          <w:lang w:val="el-GR"/>
        </w:rPr>
      </w:pPr>
    </w:p>
    <w:p w:rsidR="009C592D" w:rsidRDefault="009C592D" w:rsidP="00E8104C">
      <w:pPr>
        <w:rPr>
          <w:rFonts w:cs="Helvetica"/>
          <w:b/>
          <w:bCs/>
          <w:lang w:val="el-GR"/>
        </w:rPr>
      </w:pPr>
    </w:p>
    <w:p w:rsidR="009C592D" w:rsidRDefault="009C592D" w:rsidP="00E8104C">
      <w:pPr>
        <w:rPr>
          <w:rFonts w:cs="Helvetica"/>
          <w:b/>
          <w:bCs/>
          <w:lang w:val="el-GR"/>
        </w:rPr>
      </w:pPr>
    </w:p>
    <w:p w:rsidR="006E027B" w:rsidRDefault="006E027B" w:rsidP="00E8104C">
      <w:pPr>
        <w:rPr>
          <w:rFonts w:cs="Helvetica"/>
          <w:b/>
          <w:bCs/>
          <w:lang w:val="el-GR"/>
        </w:rPr>
      </w:pPr>
    </w:p>
    <w:p w:rsidR="009C592D" w:rsidRDefault="009C592D" w:rsidP="00E8104C">
      <w:pPr>
        <w:rPr>
          <w:rFonts w:cs="Helvetica"/>
          <w:b/>
          <w:bCs/>
          <w:lang w:val="el-GR"/>
        </w:rPr>
      </w:pPr>
    </w:p>
    <w:p w:rsidR="00E8104C" w:rsidRDefault="00E8104C" w:rsidP="00E8104C">
      <w:pPr>
        <w:rPr>
          <w:rFonts w:cs="Helvetica"/>
          <w:b/>
          <w:bCs/>
          <w:lang w:val="el-GR"/>
        </w:rPr>
      </w:pP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  <w:r>
        <w:rPr>
          <w:rFonts w:cs="Helvetica"/>
          <w:b/>
          <w:bCs/>
          <w:lang w:val="el-GR"/>
        </w:rPr>
        <w:t>ΟΔΗΓΙΕΣ</w:t>
      </w:r>
    </w:p>
    <w:p w:rsidR="007404AC" w:rsidRDefault="007404AC" w:rsidP="00E8104C">
      <w:pPr>
        <w:jc w:val="center"/>
        <w:rPr>
          <w:rFonts w:cs="Helvetica"/>
          <w:b/>
          <w:bCs/>
          <w:lang w:val="el-GR"/>
        </w:rPr>
      </w:pPr>
    </w:p>
    <w:p w:rsidR="00235EB0" w:rsidRPr="00DC0CF3" w:rsidRDefault="00E8104C" w:rsidP="00235EB0">
      <w:pPr>
        <w:pStyle w:val="ListParagraph"/>
        <w:numPr>
          <w:ilvl w:val="0"/>
          <w:numId w:val="6"/>
        </w:numPr>
        <w:ind w:left="426" w:hanging="426"/>
        <w:rPr>
          <w:rFonts w:cs="Helvetica"/>
          <w:b/>
          <w:bCs/>
          <w:lang w:val="el-GR"/>
        </w:rPr>
      </w:pPr>
      <w:r>
        <w:rPr>
          <w:rFonts w:cs="Helvetica"/>
          <w:bCs/>
          <w:lang w:val="el-GR"/>
        </w:rPr>
        <w:t>Το διαγώνισμα περιέχει έξι (6) ασκήσεις, εκ των οποίων καλείστε να επιλέξετε οποιεσδήποτε π</w:t>
      </w:r>
      <w:r w:rsidR="007A54B4">
        <w:rPr>
          <w:rFonts w:cs="Helvetica"/>
          <w:bCs/>
          <w:lang w:val="el-GR"/>
        </w:rPr>
        <w:t>έ</w:t>
      </w:r>
      <w:r>
        <w:rPr>
          <w:rFonts w:cs="Helvetica"/>
          <w:bCs/>
          <w:lang w:val="el-GR"/>
        </w:rPr>
        <w:t>ντε (5). Η κ</w:t>
      </w:r>
      <w:r w:rsidR="00223CF1">
        <w:rPr>
          <w:rFonts w:cs="Helvetica"/>
          <w:bCs/>
          <w:lang w:val="el-GR"/>
        </w:rPr>
        <w:t>αθ</w:t>
      </w:r>
      <w:r>
        <w:rPr>
          <w:rFonts w:cs="Helvetica"/>
          <w:bCs/>
          <w:lang w:val="el-GR"/>
        </w:rPr>
        <w:t>ε</w:t>
      </w:r>
      <w:r w:rsidR="00223CF1">
        <w:rPr>
          <w:rFonts w:cs="Helvetica"/>
          <w:bCs/>
          <w:lang w:val="el-GR"/>
        </w:rPr>
        <w:t>μιά από τις πέντε</w:t>
      </w:r>
      <w:r>
        <w:rPr>
          <w:rFonts w:cs="Helvetica"/>
          <w:bCs/>
          <w:lang w:val="el-GR"/>
        </w:rPr>
        <w:t xml:space="preserve"> </w:t>
      </w:r>
      <w:r w:rsidR="00223CF1">
        <w:rPr>
          <w:rFonts w:cs="Helvetica"/>
          <w:bCs/>
          <w:lang w:val="el-GR"/>
        </w:rPr>
        <w:t>α</w:t>
      </w:r>
      <w:r>
        <w:rPr>
          <w:rFonts w:cs="Helvetica"/>
          <w:bCs/>
          <w:lang w:val="el-GR"/>
        </w:rPr>
        <w:t>σκ</w:t>
      </w:r>
      <w:r w:rsidR="00223CF1">
        <w:rPr>
          <w:rFonts w:cs="Helvetica"/>
          <w:bCs/>
          <w:lang w:val="el-GR"/>
        </w:rPr>
        <w:t>ήσεις</w:t>
      </w:r>
      <w:r>
        <w:rPr>
          <w:rFonts w:cs="Helvetica"/>
          <w:bCs/>
          <w:lang w:val="el-GR"/>
        </w:rPr>
        <w:t xml:space="preserve"> </w:t>
      </w:r>
      <w:r w:rsidR="00235EB0">
        <w:rPr>
          <w:rFonts w:cs="Helvetica"/>
          <w:bCs/>
          <w:lang w:val="el-GR"/>
        </w:rPr>
        <w:t>βαθμολογείται με άριστα το 20 για το σύνολο των 100 βαθμών. Η</w:t>
      </w:r>
      <w:r w:rsidR="00223CF1">
        <w:rPr>
          <w:rFonts w:cs="Helvetica"/>
          <w:bCs/>
          <w:lang w:val="el-GR"/>
        </w:rPr>
        <w:t xml:space="preserve"> </w:t>
      </w:r>
      <w:r w:rsidR="000F579E">
        <w:rPr>
          <w:rFonts w:cs="Helvetica"/>
          <w:bCs/>
          <w:lang w:val="en-GB"/>
        </w:rPr>
        <w:t>(</w:t>
      </w:r>
      <w:r w:rsidR="00223CF1">
        <w:rPr>
          <w:rFonts w:cs="Helvetica"/>
          <w:bCs/>
          <w:lang w:val="el-GR"/>
        </w:rPr>
        <w:t>οποιαδήποτε</w:t>
      </w:r>
      <w:r w:rsidR="000F579E">
        <w:rPr>
          <w:rFonts w:cs="Helvetica"/>
          <w:bCs/>
          <w:lang w:val="en-GB"/>
        </w:rPr>
        <w:t>)</w:t>
      </w:r>
      <w:r w:rsidR="00223CF1">
        <w:rPr>
          <w:rFonts w:cs="Helvetica"/>
          <w:bCs/>
          <w:lang w:val="el-GR"/>
        </w:rPr>
        <w:t xml:space="preserve"> 6</w:t>
      </w:r>
      <w:r w:rsidR="00223CF1" w:rsidRPr="00223CF1">
        <w:rPr>
          <w:rFonts w:cs="Helvetica"/>
          <w:bCs/>
          <w:vertAlign w:val="superscript"/>
          <w:lang w:val="el-GR"/>
        </w:rPr>
        <w:t>η</w:t>
      </w:r>
      <w:r w:rsidR="00223CF1">
        <w:rPr>
          <w:rFonts w:cs="Helvetica"/>
          <w:bCs/>
          <w:lang w:val="el-GR"/>
        </w:rPr>
        <w:t xml:space="preserve"> </w:t>
      </w:r>
      <w:r w:rsidR="00235EB0">
        <w:rPr>
          <w:rFonts w:cs="Helvetica"/>
          <w:bCs/>
          <w:lang w:val="el-GR"/>
        </w:rPr>
        <w:t xml:space="preserve">άσκηση δίνει </w:t>
      </w:r>
      <w:r w:rsidR="00235EB0">
        <w:rPr>
          <w:rFonts w:cs="Helvetica"/>
          <w:bCs/>
          <w:lang w:val="en-GB"/>
        </w:rPr>
        <w:t>bonus</w:t>
      </w:r>
      <w:r w:rsidR="00235EB0">
        <w:rPr>
          <w:rFonts w:cs="Helvetica"/>
          <w:bCs/>
          <w:lang w:val="el-GR"/>
        </w:rPr>
        <w:t xml:space="preserve"> </w:t>
      </w:r>
      <w:r w:rsidR="00EB1976" w:rsidRPr="00223CF1">
        <w:rPr>
          <w:rFonts w:cs="Helvetica"/>
          <w:bCs/>
          <w:lang w:val="el-GR"/>
        </w:rPr>
        <w:t>10</w:t>
      </w:r>
      <w:r w:rsidR="00235EB0">
        <w:rPr>
          <w:rFonts w:cs="Helvetica"/>
          <w:bCs/>
          <w:lang w:val="el-GR"/>
        </w:rPr>
        <w:t xml:space="preserve"> </w:t>
      </w:r>
      <w:r w:rsidR="00381B4B">
        <w:rPr>
          <w:rFonts w:cs="Helvetica"/>
          <w:bCs/>
          <w:lang w:val="el-GR"/>
        </w:rPr>
        <w:t>βαθμών</w:t>
      </w:r>
      <w:r w:rsidR="00DC0CF3">
        <w:rPr>
          <w:rFonts w:cs="Helvetica"/>
          <w:bCs/>
          <w:lang w:val="el-GR"/>
        </w:rPr>
        <w:t>.</w:t>
      </w:r>
      <w:r w:rsidR="00A74966">
        <w:rPr>
          <w:rFonts w:cs="Helvetica"/>
          <w:bCs/>
          <w:lang w:val="el-GR"/>
        </w:rPr>
        <w:br/>
      </w:r>
    </w:p>
    <w:p w:rsidR="00DC0CF3" w:rsidRPr="00DC0CF3" w:rsidRDefault="00DC0CF3" w:rsidP="00235EB0">
      <w:pPr>
        <w:pStyle w:val="ListParagraph"/>
        <w:numPr>
          <w:ilvl w:val="0"/>
          <w:numId w:val="6"/>
        </w:numPr>
        <w:ind w:left="426" w:hanging="426"/>
        <w:rPr>
          <w:rFonts w:cs="Helvetica"/>
          <w:b/>
          <w:bCs/>
          <w:lang w:val="el-GR"/>
        </w:rPr>
      </w:pPr>
      <w:r>
        <w:rPr>
          <w:rFonts w:cs="Helvetica"/>
          <w:bCs/>
          <w:lang w:val="el-GR"/>
        </w:rPr>
        <w:t>Σημειώστε το όνομά σας σε κάθε φύλλο του διαγωνίσματος</w:t>
      </w:r>
      <w:r w:rsidR="00223CF1">
        <w:rPr>
          <w:rFonts w:cs="Helvetica"/>
          <w:bCs/>
          <w:lang w:val="el-GR"/>
        </w:rPr>
        <w:t xml:space="preserve"> (επάνω αριστερά)</w:t>
      </w:r>
      <w:r w:rsidR="00A74966">
        <w:rPr>
          <w:rFonts w:cs="Helvetica"/>
          <w:bCs/>
          <w:lang w:val="el-GR"/>
        </w:rPr>
        <w:br/>
      </w:r>
    </w:p>
    <w:p w:rsidR="00DC0CF3" w:rsidRPr="00A74966" w:rsidRDefault="00DC0CF3" w:rsidP="00235EB0">
      <w:pPr>
        <w:pStyle w:val="ListParagraph"/>
        <w:numPr>
          <w:ilvl w:val="0"/>
          <w:numId w:val="6"/>
        </w:numPr>
        <w:ind w:left="426" w:hanging="426"/>
        <w:rPr>
          <w:rFonts w:cs="Helvetica"/>
          <w:bCs/>
          <w:lang w:val="el-GR"/>
        </w:rPr>
      </w:pPr>
      <w:r w:rsidRPr="00A74966">
        <w:rPr>
          <w:rFonts w:cs="Helvetica"/>
          <w:bCs/>
          <w:lang w:val="el-GR"/>
        </w:rPr>
        <w:t xml:space="preserve">Οι απαντήσεις οφείλουν να βρίσκονται κάτω από </w:t>
      </w:r>
      <w:r w:rsidR="00A74966" w:rsidRPr="00A74966">
        <w:rPr>
          <w:rFonts w:cs="Helvetica"/>
          <w:bCs/>
          <w:lang w:val="el-GR"/>
        </w:rPr>
        <w:t>το κάθε θέμα και μόνο</w:t>
      </w:r>
      <w:r w:rsidRPr="00A74966">
        <w:rPr>
          <w:rFonts w:cs="Helvetica"/>
          <w:bCs/>
          <w:lang w:val="el-GR"/>
        </w:rPr>
        <w:t>.</w:t>
      </w:r>
      <w:r w:rsidR="00A74966" w:rsidRPr="00A74966">
        <w:rPr>
          <w:rFonts w:cs="Helvetica"/>
          <w:bCs/>
          <w:lang w:val="el-GR"/>
        </w:rPr>
        <w:t xml:space="preserve"> </w:t>
      </w:r>
      <w:r w:rsidRPr="00A74966">
        <w:rPr>
          <w:rFonts w:cs="Helvetica"/>
          <w:bCs/>
          <w:lang w:val="el-GR"/>
        </w:rPr>
        <w:t xml:space="preserve"> </w:t>
      </w:r>
      <w:r w:rsidR="00A74966">
        <w:rPr>
          <w:rFonts w:cs="Helvetica"/>
          <w:bCs/>
          <w:lang w:val="el-GR"/>
        </w:rPr>
        <w:t>Απαντήσεις στην πίσω πλευρά της κάθε σελίδας ή σε ξεχωριστή πρόχειρη κόλλα δε θα γίνουν δεκτές.</w:t>
      </w:r>
      <w:r w:rsidR="00A74966">
        <w:rPr>
          <w:rFonts w:cs="Helvetica"/>
          <w:bCs/>
          <w:lang w:val="el-GR"/>
        </w:rPr>
        <w:br/>
      </w:r>
    </w:p>
    <w:p w:rsidR="00235EB0" w:rsidRDefault="00223CF1" w:rsidP="00235EB0">
      <w:pPr>
        <w:pStyle w:val="ListParagraph"/>
        <w:numPr>
          <w:ilvl w:val="0"/>
          <w:numId w:val="6"/>
        </w:numPr>
        <w:ind w:left="426" w:hanging="426"/>
        <w:rPr>
          <w:rFonts w:cs="Helvetica"/>
          <w:bCs/>
          <w:lang w:val="el-GR"/>
        </w:rPr>
      </w:pPr>
      <w:r>
        <w:rPr>
          <w:rFonts w:cs="Helvetica"/>
          <w:bCs/>
          <w:lang w:val="el-GR"/>
        </w:rPr>
        <w:t>Για τον ανωτέρω λόγο, π</w:t>
      </w:r>
      <w:r w:rsidR="00235EB0" w:rsidRPr="00235EB0">
        <w:rPr>
          <w:rFonts w:cs="Helvetica"/>
          <w:bCs/>
          <w:lang w:val="el-GR"/>
        </w:rPr>
        <w:t>αρακαλώ απαντήστε όσο το δυνατόν σύντομα και περιεκτικά</w:t>
      </w:r>
      <w:r>
        <w:rPr>
          <w:rFonts w:cs="Helvetica"/>
          <w:bCs/>
          <w:lang w:val="el-GR"/>
        </w:rPr>
        <w:t>.</w:t>
      </w:r>
    </w:p>
    <w:p w:rsidR="00223CF1" w:rsidRDefault="00223CF1" w:rsidP="00223CF1">
      <w:pPr>
        <w:pStyle w:val="ListParagraph"/>
        <w:ind w:left="426"/>
        <w:rPr>
          <w:rFonts w:cs="Helvetica"/>
          <w:bCs/>
          <w:lang w:val="el-GR"/>
        </w:rPr>
      </w:pPr>
    </w:p>
    <w:p w:rsidR="00A74966" w:rsidRDefault="00A74966" w:rsidP="00235EB0">
      <w:pPr>
        <w:pStyle w:val="ListParagraph"/>
        <w:numPr>
          <w:ilvl w:val="0"/>
          <w:numId w:val="6"/>
        </w:numPr>
        <w:ind w:left="426" w:hanging="426"/>
        <w:rPr>
          <w:rFonts w:cs="Helvetica"/>
          <w:bCs/>
          <w:lang w:val="el-GR"/>
        </w:rPr>
      </w:pPr>
      <w:r>
        <w:rPr>
          <w:rFonts w:cs="Helvetica"/>
          <w:bCs/>
          <w:lang w:val="el-GR"/>
        </w:rPr>
        <w:t>Το διαγώνισμα είναι με κλειστ</w:t>
      </w:r>
      <w:r w:rsidR="00667703">
        <w:rPr>
          <w:rFonts w:cs="Helvetica"/>
          <w:bCs/>
          <w:lang w:val="el-GR"/>
        </w:rPr>
        <w:t>ές</w:t>
      </w:r>
      <w:r>
        <w:rPr>
          <w:rFonts w:cs="Helvetica"/>
          <w:bCs/>
          <w:lang w:val="el-GR"/>
        </w:rPr>
        <w:t xml:space="preserve"> σημειώσεις και </w:t>
      </w:r>
      <w:r w:rsidR="00223CF1">
        <w:rPr>
          <w:rFonts w:cs="Helvetica"/>
          <w:bCs/>
          <w:lang w:val="el-GR"/>
        </w:rPr>
        <w:t>ηλεκτρονικά μέσα</w:t>
      </w:r>
      <w:r>
        <w:rPr>
          <w:rFonts w:cs="Helvetica"/>
          <w:bCs/>
          <w:lang w:val="el-GR"/>
        </w:rPr>
        <w:t>.</w:t>
      </w:r>
    </w:p>
    <w:p w:rsidR="00267750" w:rsidRPr="00235EB0" w:rsidRDefault="00267750" w:rsidP="00267750">
      <w:pPr>
        <w:pStyle w:val="ListParagraph"/>
        <w:ind w:left="426"/>
        <w:rPr>
          <w:rFonts w:cs="Helvetica"/>
          <w:bCs/>
          <w:lang w:val="el-GR"/>
        </w:rPr>
      </w:pPr>
    </w:p>
    <w:p w:rsidR="00E8104C" w:rsidRDefault="00E8104C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EB1976" w:rsidRDefault="00EB1976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F82350" w:rsidRDefault="00F82350" w:rsidP="00E8104C">
      <w:pPr>
        <w:jc w:val="center"/>
        <w:rPr>
          <w:rFonts w:cs="Helvetica"/>
          <w:b/>
          <w:bCs/>
          <w:lang w:val="el-GR"/>
        </w:rPr>
      </w:pPr>
    </w:p>
    <w:p w:rsidR="00C7339B" w:rsidRPr="00230733" w:rsidRDefault="00C7339B" w:rsidP="00230733">
      <w:pPr>
        <w:rPr>
          <w:b/>
          <w:lang w:val="el-GR"/>
        </w:rPr>
      </w:pPr>
      <w:r w:rsidRPr="00230733">
        <w:rPr>
          <w:rFonts w:cs="Helvetica"/>
          <w:b/>
          <w:bCs/>
          <w:lang w:val="el-GR"/>
        </w:rPr>
        <w:t xml:space="preserve">1. </w:t>
      </w:r>
      <w:r w:rsidR="0034492C">
        <w:rPr>
          <w:b/>
          <w:lang w:val="el-GR"/>
        </w:rPr>
        <w:t xml:space="preserve">Προτάσεις </w:t>
      </w:r>
      <w:r w:rsidR="00230733">
        <w:rPr>
          <w:b/>
          <w:lang w:val="el-GR"/>
        </w:rPr>
        <w:t xml:space="preserve">σωστού/λάθους </w:t>
      </w:r>
      <w:r w:rsidRPr="00230733">
        <w:rPr>
          <w:b/>
          <w:lang w:val="el-GR"/>
        </w:rPr>
        <w:t xml:space="preserve">(20 </w:t>
      </w:r>
      <w:r w:rsidR="00230733">
        <w:rPr>
          <w:b/>
          <w:lang w:val="el-GR"/>
        </w:rPr>
        <w:t>βαθμοί</w:t>
      </w:r>
      <w:r w:rsidRPr="00230733">
        <w:rPr>
          <w:b/>
          <w:lang w:val="el-GR"/>
        </w:rPr>
        <w:t>)</w:t>
      </w:r>
    </w:p>
    <w:p w:rsidR="00C7339B" w:rsidRPr="00230733" w:rsidRDefault="00230733" w:rsidP="00C7339B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Σημειώστε στις δεξιά στήλες (Σ/Λ) εάν η πρόταση είναι σωστή (Σ) ή λάθος (Λ)</w:t>
      </w:r>
      <w:r w:rsidR="00C7339B" w:rsidRPr="00230733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Η</w:t>
      </w:r>
      <w:r w:rsidRPr="0023073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κάθε</w:t>
      </w:r>
      <w:r w:rsidRPr="0023073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πρόταση</w:t>
      </w:r>
      <w:r w:rsidRPr="0023073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δίνει</w:t>
      </w:r>
      <w:r w:rsidRPr="00230733">
        <w:rPr>
          <w:sz w:val="22"/>
          <w:szCs w:val="22"/>
          <w:lang w:val="el-GR"/>
        </w:rPr>
        <w:t xml:space="preserve"> </w:t>
      </w:r>
      <w:r w:rsidRPr="00230733">
        <w:rPr>
          <w:sz w:val="22"/>
          <w:szCs w:val="22"/>
          <w:u w:val="single"/>
          <w:lang w:val="el-GR"/>
        </w:rPr>
        <w:t>δύο (2)</w:t>
      </w:r>
      <w:r w:rsidRPr="0023073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βαθμούς ενώ</w:t>
      </w:r>
      <w:r w:rsidR="00C7339B" w:rsidRPr="00230733">
        <w:rPr>
          <w:sz w:val="22"/>
          <w:szCs w:val="22"/>
          <w:lang w:val="el-GR"/>
        </w:rPr>
        <w:t xml:space="preserve"> </w:t>
      </w:r>
      <w:r w:rsidRPr="00230733">
        <w:rPr>
          <w:sz w:val="22"/>
          <w:szCs w:val="22"/>
          <w:lang w:val="el-GR"/>
        </w:rPr>
        <w:t xml:space="preserve">μια λανθασμένη απάντηση αφαιρεί </w:t>
      </w:r>
      <w:r w:rsidR="00EC57F0">
        <w:rPr>
          <w:sz w:val="22"/>
          <w:szCs w:val="22"/>
          <w:u w:val="single"/>
          <w:lang w:val="el-GR"/>
        </w:rPr>
        <w:t xml:space="preserve">μισό </w:t>
      </w:r>
      <w:r w:rsidRPr="00230733">
        <w:rPr>
          <w:sz w:val="22"/>
          <w:szCs w:val="22"/>
          <w:u w:val="single"/>
          <w:lang w:val="el-GR"/>
        </w:rPr>
        <w:t>(</w:t>
      </w:r>
      <w:r w:rsidR="00EC57F0">
        <w:rPr>
          <w:sz w:val="22"/>
          <w:szCs w:val="22"/>
          <w:u w:val="single"/>
          <w:lang w:val="el-GR"/>
        </w:rPr>
        <w:t>0.5</w:t>
      </w:r>
      <w:r w:rsidRPr="00230733">
        <w:rPr>
          <w:sz w:val="22"/>
          <w:szCs w:val="22"/>
          <w:u w:val="single"/>
          <w:lang w:val="el-GR"/>
        </w:rPr>
        <w:t>)</w:t>
      </w:r>
      <w:r w:rsidRPr="00230733">
        <w:rPr>
          <w:sz w:val="22"/>
          <w:szCs w:val="22"/>
          <w:lang w:val="el-GR"/>
        </w:rPr>
        <w:t xml:space="preserve"> βαθμό</w:t>
      </w:r>
      <w:r w:rsidR="00923670">
        <w:rPr>
          <w:sz w:val="22"/>
          <w:szCs w:val="22"/>
          <w:lang w:val="el-GR"/>
        </w:rPr>
        <w:t>. Η ελάχιστη βαθμολογία είναι το μηδέν (0).</w:t>
      </w:r>
    </w:p>
    <w:p w:rsidR="00C7339B" w:rsidRPr="00230733" w:rsidRDefault="00C7339B" w:rsidP="00C7339B">
      <w:pPr>
        <w:rPr>
          <w:lang w:val="el-GR"/>
        </w:rPr>
      </w:pPr>
    </w:p>
    <w:tbl>
      <w:tblPr>
        <w:tblStyle w:val="TableGrid"/>
        <w:tblpPr w:leftFromText="180" w:rightFromText="180" w:vertAnchor="text" w:horzAnchor="margin" w:tblpX="-10" w:tblpY="17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567"/>
        <w:gridCol w:w="567"/>
      </w:tblGrid>
      <w:tr w:rsidR="00C7339B" w:rsidTr="004E4613">
        <w:tc>
          <w:tcPr>
            <w:tcW w:w="7933" w:type="dxa"/>
          </w:tcPr>
          <w:p w:rsidR="00C7339B" w:rsidRPr="00230733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230733" w:rsidRDefault="00230733" w:rsidP="00E825B8">
            <w:pPr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67" w:type="dxa"/>
          </w:tcPr>
          <w:p w:rsidR="00C7339B" w:rsidRPr="00230733" w:rsidRDefault="00230733" w:rsidP="00E825B8">
            <w:pPr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</w:tr>
      <w:tr w:rsidR="00C7339B" w:rsidRPr="000F579E" w:rsidTr="004E4613">
        <w:tc>
          <w:tcPr>
            <w:tcW w:w="7933" w:type="dxa"/>
          </w:tcPr>
          <w:p w:rsidR="00DC4A59" w:rsidRPr="00DC4A59" w:rsidRDefault="00DC4A59" w:rsidP="00E825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 w:rsidRPr="00DC4A59">
              <w:rPr>
                <w:lang w:val="el-GR"/>
              </w:rPr>
              <w:t xml:space="preserve">Η καλή ελαστικότητα υποκατάστασης </w:t>
            </w:r>
            <w:r>
              <w:rPr>
                <w:lang w:val="el-GR"/>
              </w:rPr>
              <w:t>στην παραγωγική διαδικασία της οικονομίας μεταξύ των μη ανανεώσιμων πηγών ενέργειας και του κεφαλαίου</w:t>
            </w:r>
            <w:r w:rsidR="004E4613">
              <w:rPr>
                <w:lang w:val="el-GR"/>
              </w:rPr>
              <w:t xml:space="preserve"> </w:t>
            </w:r>
            <m:oMath>
              <m:r>
                <w:rPr>
                  <w:rFonts w:ascii="Cambria Math" w:hAnsi="Cambria Math"/>
                  <w:lang w:val="el-GR"/>
                </w:rPr>
                <m:t>(σ&gt;1)</m:t>
              </m:r>
            </m:oMath>
            <w:r w:rsidR="00F07DE3">
              <w:rPr>
                <w:lang w:val="el-GR"/>
              </w:rPr>
              <w:t>,</w:t>
            </w:r>
            <w:r>
              <w:rPr>
                <w:lang w:val="el-GR"/>
              </w:rPr>
              <w:t xml:space="preserve"> </w:t>
            </w:r>
            <w:r w:rsidR="00C40E2D">
              <w:rPr>
                <w:lang w:val="el-GR"/>
              </w:rPr>
              <w:t xml:space="preserve">δεν </w:t>
            </w:r>
            <w:r w:rsidR="00C057E8">
              <w:rPr>
                <w:lang w:val="el-GR"/>
              </w:rPr>
              <w:t xml:space="preserve">είναι </w:t>
            </w:r>
            <w:r w:rsidR="00C40E2D">
              <w:rPr>
                <w:lang w:val="el-GR"/>
              </w:rPr>
              <w:t>σημαντική</w:t>
            </w:r>
            <w:r w:rsidR="00C057E8">
              <w:rPr>
                <w:lang w:val="el-GR"/>
              </w:rPr>
              <w:t xml:space="preserve"> για την αειφόρο ανάπτυξη της οικονομίας</w:t>
            </w:r>
            <w:r w:rsidR="00296BE4">
              <w:rPr>
                <w:lang w:val="el-GR"/>
              </w:rPr>
              <w:t>.</w:t>
            </w:r>
          </w:p>
          <w:p w:rsidR="00C7339B" w:rsidRPr="00C057E8" w:rsidRDefault="00C7339B" w:rsidP="00C057E8">
            <w:pPr>
              <w:pStyle w:val="ListParagraph"/>
              <w:spacing w:after="0" w:line="240" w:lineRule="auto"/>
              <w:ind w:left="330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C057E8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C057E8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C7339B" w:rsidRPr="00E26CC9" w:rsidRDefault="00C057E8" w:rsidP="006677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>
              <w:rPr>
                <w:lang w:val="el-GR"/>
              </w:rPr>
              <w:t>Σκεφτείτε μια πετρελαιοπαραγωγό χώρα στην οποία η μοναδική εταιρία εξόρυξης είναι δημ</w:t>
            </w:r>
            <w:r w:rsidR="005C358B">
              <w:rPr>
                <w:lang w:val="el-GR"/>
              </w:rPr>
              <w:t>ο</w:t>
            </w:r>
            <w:r>
              <w:rPr>
                <w:lang w:val="el-GR"/>
              </w:rPr>
              <w:t>σ</w:t>
            </w:r>
            <w:r w:rsidR="005C358B">
              <w:rPr>
                <w:lang w:val="el-GR"/>
              </w:rPr>
              <w:t>ί</w:t>
            </w:r>
            <w:r>
              <w:rPr>
                <w:lang w:val="el-GR"/>
              </w:rPr>
              <w:t xml:space="preserve">ου χαρακτήρα. </w:t>
            </w:r>
            <w:r w:rsidR="00C40E2D">
              <w:rPr>
                <w:lang w:val="el-GR"/>
              </w:rPr>
              <w:t xml:space="preserve">Η </w:t>
            </w:r>
            <w:r w:rsidR="00F07DE3">
              <w:rPr>
                <w:lang w:val="el-GR"/>
              </w:rPr>
              <w:t>βιώσιμη</w:t>
            </w:r>
            <w:r>
              <w:rPr>
                <w:lang w:val="el-GR"/>
              </w:rPr>
              <w:t xml:space="preserve"> ανάπτυξη σε αυτή τη χώρα </w:t>
            </w:r>
            <w:r w:rsidR="00296BE4">
              <w:rPr>
                <w:lang w:val="el-GR"/>
              </w:rPr>
              <w:t xml:space="preserve">θα </w:t>
            </w:r>
            <w:r>
              <w:rPr>
                <w:lang w:val="el-GR"/>
              </w:rPr>
              <w:t>μπορ</w:t>
            </w:r>
            <w:r w:rsidR="00296BE4">
              <w:rPr>
                <w:lang w:val="el-GR"/>
              </w:rPr>
              <w:t>ούσε</w:t>
            </w:r>
            <w:r>
              <w:rPr>
                <w:lang w:val="el-GR"/>
              </w:rPr>
              <w:t xml:space="preserve"> να επέλθει εάν η κυβέρνηση της χώρας </w:t>
            </w:r>
            <w:r w:rsidR="00C40E2D">
              <w:rPr>
                <w:lang w:val="el-GR"/>
              </w:rPr>
              <w:t>μοίραζε τα έσοδα από τις πωλήσεις πετρελαίου στους κατοίκους</w:t>
            </w:r>
            <w:r w:rsidR="00667703">
              <w:rPr>
                <w:lang w:val="el-GR"/>
              </w:rPr>
              <w:t xml:space="preserve"> της.</w:t>
            </w:r>
            <w:r w:rsidR="00C40E2D">
              <w:rPr>
                <w:lang w:val="el-GR"/>
              </w:rPr>
              <w:t xml:space="preserve"> </w:t>
            </w:r>
            <w:r w:rsidR="00667703">
              <w:rPr>
                <w:lang w:val="el-GR"/>
              </w:rPr>
              <w:br/>
            </w:r>
          </w:p>
        </w:tc>
        <w:tc>
          <w:tcPr>
            <w:tcW w:w="567" w:type="dxa"/>
          </w:tcPr>
          <w:p w:rsidR="00C7339B" w:rsidRPr="00296BE4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296BE4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rPr>
          <w:trHeight w:val="520"/>
        </w:trPr>
        <w:tc>
          <w:tcPr>
            <w:tcW w:w="7933" w:type="dxa"/>
          </w:tcPr>
          <w:p w:rsidR="00C7339B" w:rsidRPr="00E26CC9" w:rsidRDefault="00C40E2D" w:rsidP="00E26C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6" w:hanging="306"/>
              <w:rPr>
                <w:lang w:val="el-GR"/>
              </w:rPr>
            </w:pPr>
            <w:r>
              <w:rPr>
                <w:lang w:val="el-GR"/>
              </w:rPr>
              <w:t xml:space="preserve">Στην αγορά ηλεκτρισμού οι δημοπρασίες ενιαίας τιμής είναι άδικες γιατί πληρώνουν </w:t>
            </w:r>
            <w:r w:rsidR="0034492C">
              <w:rPr>
                <w:lang w:val="el-GR"/>
              </w:rPr>
              <w:t>τις φτηνές μονάδες πάνω από το οριακό τους κόστος.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567" w:type="dxa"/>
          </w:tcPr>
          <w:p w:rsidR="00C7339B" w:rsidRPr="005C358B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5C358B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E332D2" w:rsidRPr="0051147B" w:rsidRDefault="00E332D2" w:rsidP="00511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>
              <w:rPr>
                <w:lang w:val="el-GR"/>
              </w:rPr>
              <w:t xml:space="preserve">Θεωρήστε μια καμπύλη ζήτησης </w:t>
            </w:r>
            <m:oMath>
              <m:r>
                <w:rPr>
                  <w:rFonts w:ascii="Cambria Math" w:hAnsi="Cambria Math"/>
                  <w:lang w:val="en-GB"/>
                </w:rPr>
                <m:t>p</m:t>
              </m:r>
              <m:r>
                <w:rPr>
                  <w:rFonts w:ascii="Cambria Math" w:hAnsi="Cambria Math"/>
                  <w:lang w:val="el-GR"/>
                </w:rPr>
                <m:t>=10-0.2 q</m:t>
              </m:r>
            </m:oMath>
            <w:r w:rsidRPr="00E332D2">
              <w:rPr>
                <w:rFonts w:eastAsiaTheme="minorEastAsia"/>
                <w:lang w:val="el-GR"/>
              </w:rPr>
              <w:t xml:space="preserve">. </w:t>
            </w:r>
            <w:r>
              <w:rPr>
                <w:rFonts w:eastAsiaTheme="minorEastAsia"/>
                <w:lang w:val="el-GR"/>
              </w:rPr>
              <w:t xml:space="preserve">Η ελαστικότητα ζήτησης </w:t>
            </w:r>
            <w:r w:rsidR="00646404">
              <w:rPr>
                <w:rFonts w:eastAsiaTheme="minorEastAsia"/>
                <w:lang w:val="el-GR"/>
              </w:rPr>
              <w:t xml:space="preserve">σε σχέση με την τιμή </w:t>
            </w:r>
            <w:r w:rsidRPr="0051147B">
              <w:rPr>
                <w:rFonts w:eastAsiaTheme="minorEastAsia"/>
                <w:lang w:val="el-GR"/>
              </w:rPr>
              <w:t>σε αυτή την περίπτωση</w:t>
            </w:r>
            <w:r w:rsidR="0051147B" w:rsidRPr="0051147B">
              <w:rPr>
                <w:rFonts w:eastAsiaTheme="minorEastAsia"/>
                <w:lang w:val="el-GR"/>
              </w:rPr>
              <w:t xml:space="preserve"> </w:t>
            </w:r>
            <w:r w:rsidR="00667703">
              <w:rPr>
                <w:rFonts w:eastAsiaTheme="minorEastAsia"/>
                <w:lang w:val="el-GR"/>
              </w:rPr>
              <w:t xml:space="preserve">δεν είναι </w:t>
            </w:r>
            <w:r w:rsidRPr="0051147B">
              <w:rPr>
                <w:rFonts w:eastAsiaTheme="minorEastAsia"/>
                <w:lang w:val="el-GR"/>
              </w:rPr>
              <w:t>-</w:t>
            </w:r>
            <w:r w:rsidR="0034492C" w:rsidRPr="0051147B">
              <w:rPr>
                <w:rFonts w:eastAsiaTheme="minorEastAsia"/>
                <w:lang w:val="el-GR"/>
              </w:rPr>
              <w:t>0.2</w:t>
            </w:r>
            <w:r w:rsidRPr="0051147B">
              <w:rPr>
                <w:rFonts w:eastAsiaTheme="minorEastAsia"/>
                <w:lang w:val="el-GR"/>
              </w:rPr>
              <w:t>.</w:t>
            </w:r>
          </w:p>
          <w:p w:rsidR="00C7339B" w:rsidRPr="00E332D2" w:rsidRDefault="00C7339B" w:rsidP="00E332D2">
            <w:pPr>
              <w:pStyle w:val="ListParagraph"/>
              <w:spacing w:after="0" w:line="240" w:lineRule="auto"/>
              <w:ind w:left="330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332D2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332D2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C7339B" w:rsidRPr="00E26CC9" w:rsidRDefault="00E26CC9" w:rsidP="00E26C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6" w:hanging="306"/>
              <w:rPr>
                <w:lang w:val="el-GR"/>
              </w:rPr>
            </w:pPr>
            <w:r w:rsidRPr="00DC1FB3">
              <w:rPr>
                <w:lang w:val="el-GR"/>
              </w:rPr>
              <w:t xml:space="preserve">Στο </w:t>
            </w:r>
            <w:r w:rsidR="0034492C">
              <w:rPr>
                <w:lang w:val="en-GB"/>
              </w:rPr>
              <w:t>short</w:t>
            </w:r>
            <w:r w:rsidRPr="00DC1FB3">
              <w:rPr>
                <w:lang w:val="el-GR"/>
              </w:rPr>
              <w:t xml:space="preserve"> </w:t>
            </w:r>
            <w:r w:rsidRPr="00E26CC9">
              <w:t>position</w:t>
            </w:r>
            <w:r w:rsidRPr="00DC1FB3">
              <w:rPr>
                <w:lang w:val="el-GR"/>
              </w:rPr>
              <w:t xml:space="preserve"> ενός</w:t>
            </w:r>
            <w:r w:rsidRPr="00E26CC9">
              <w:rPr>
                <w:lang w:val="el-GR"/>
              </w:rPr>
              <w:t xml:space="preserve"> συμβολαίου μελλοντικής εκπλήρωσης στην ενεργειακή αγορά, ο πωλητής αναμένει ότι η τιμή του ηλεκτρισμού θα ανέβει.</w:t>
            </w:r>
          </w:p>
          <w:p w:rsidR="00C7339B" w:rsidRPr="00E26CC9" w:rsidRDefault="00C7339B" w:rsidP="00E825B8">
            <w:pPr>
              <w:pStyle w:val="ListParagraph"/>
              <w:spacing w:after="0" w:line="240" w:lineRule="auto"/>
              <w:ind w:left="330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26CC9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26CC9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C7339B" w:rsidRDefault="00646404" w:rsidP="005C3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>
              <w:rPr>
                <w:lang w:val="el-GR"/>
              </w:rPr>
              <w:t>Είναι δεδομένο πως ένας φόρος άνθρακα</w:t>
            </w:r>
            <w:r w:rsidR="005E508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στη βενζίνη θα επηρεάσει την ευημερία των </w:t>
            </w:r>
            <w:r w:rsidR="005E508C">
              <w:rPr>
                <w:lang w:val="el-GR"/>
              </w:rPr>
              <w:t>τελικ</w:t>
            </w:r>
            <w:r>
              <w:rPr>
                <w:lang w:val="el-GR"/>
              </w:rPr>
              <w:t>ών</w:t>
            </w:r>
            <w:r w:rsidR="005E508C">
              <w:rPr>
                <w:lang w:val="el-GR"/>
              </w:rPr>
              <w:t xml:space="preserve"> καταναλωτ</w:t>
            </w:r>
            <w:r>
              <w:rPr>
                <w:lang w:val="el-GR"/>
              </w:rPr>
              <w:t>ών</w:t>
            </w:r>
            <w:r w:rsidR="005E508C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περισσότερο από εκείνη των παραγωγών.</w:t>
            </w:r>
          </w:p>
          <w:p w:rsidR="00B42379" w:rsidRPr="00E26CC9" w:rsidRDefault="00B42379" w:rsidP="00B42379">
            <w:pPr>
              <w:pStyle w:val="ListParagraph"/>
              <w:spacing w:after="0" w:line="240" w:lineRule="auto"/>
              <w:ind w:left="330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26CC9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E26CC9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B42379" w:rsidRPr="00B42379" w:rsidRDefault="0034492C" w:rsidP="00B42379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lang w:val="el-GR"/>
              </w:rPr>
            </w:pPr>
            <w:r>
              <w:rPr>
                <w:lang w:val="el-GR"/>
              </w:rPr>
              <w:t>Μερικές φορές, στις δημοπρασίες ενιαίας τιμής στην αγορά ηλεκτρισμού οι αγοραστές πληρώνουν πιο πολλά χρήματα από όσα πληρώνονται οι πωλητές.</w:t>
            </w:r>
          </w:p>
        </w:tc>
        <w:tc>
          <w:tcPr>
            <w:tcW w:w="567" w:type="dxa"/>
          </w:tcPr>
          <w:p w:rsidR="00C7339B" w:rsidRPr="00365DDE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365DDE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B42379" w:rsidRPr="00365DDE" w:rsidRDefault="00F01446" w:rsidP="00A45C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>
              <w:rPr>
                <w:lang w:val="el-GR"/>
              </w:rPr>
              <w:t>Θεωρήστε μια καμπύλη προσφοράς ηλεκτρισμού</w:t>
            </w:r>
            <w:r w:rsidR="00542322">
              <w:rPr>
                <w:lang w:val="el-GR"/>
              </w:rPr>
              <w:t xml:space="preserve"> που περιλαμβάνει</w:t>
            </w:r>
            <w:r w:rsidR="00637DBF">
              <w:rPr>
                <w:lang w:val="el-GR"/>
              </w:rPr>
              <w:t xml:space="preserve"> </w:t>
            </w:r>
            <w:r w:rsidR="00667703">
              <w:rPr>
                <w:lang w:val="el-GR"/>
              </w:rPr>
              <w:t>ΑΠΕ (</w:t>
            </w:r>
            <w:r w:rsidR="00542322">
              <w:rPr>
                <w:lang w:val="el-GR"/>
              </w:rPr>
              <w:t>φωτοβολταΪκά</w:t>
            </w:r>
            <w:r w:rsidR="00667703">
              <w:rPr>
                <w:lang w:val="el-GR"/>
              </w:rPr>
              <w:t xml:space="preserve"> και αιολικά)</w:t>
            </w:r>
            <w:r w:rsidR="00A45C0E">
              <w:rPr>
                <w:lang w:val="el-GR"/>
              </w:rPr>
              <w:t>, λιγνιτικές μονάδες,</w:t>
            </w:r>
            <w:r>
              <w:rPr>
                <w:lang w:val="el-GR"/>
              </w:rPr>
              <w:t xml:space="preserve"> και</w:t>
            </w:r>
            <w:r w:rsidR="00542322">
              <w:rPr>
                <w:lang w:val="el-GR"/>
              </w:rPr>
              <w:t xml:space="preserve"> μονάδες φυσικού αερίου. </w:t>
            </w:r>
            <w:r w:rsidR="00A45C0E">
              <w:rPr>
                <w:lang w:val="el-GR"/>
              </w:rPr>
              <w:t>Υποθέστε πως η</w:t>
            </w:r>
            <w:r w:rsidR="00542322">
              <w:rPr>
                <w:lang w:val="el-GR"/>
              </w:rPr>
              <w:t xml:space="preserve"> ζήτηση παραμένει</w:t>
            </w:r>
            <w:r>
              <w:rPr>
                <w:lang w:val="el-GR"/>
              </w:rPr>
              <w:t xml:space="preserve"> σταθερή </w:t>
            </w:r>
            <w:r w:rsidR="00542322">
              <w:rPr>
                <w:lang w:val="el-GR"/>
              </w:rPr>
              <w:t xml:space="preserve">μέσα στη μέρα. Σε αυτή την αγορά </w:t>
            </w:r>
            <w:r w:rsidR="00A45C0E">
              <w:rPr>
                <w:lang w:val="el-GR"/>
              </w:rPr>
              <w:t xml:space="preserve">υπάρχει περίπτωση το κέρδος των </w:t>
            </w:r>
            <w:r w:rsidR="00301943">
              <w:rPr>
                <w:lang w:val="el-GR"/>
              </w:rPr>
              <w:t xml:space="preserve"> </w:t>
            </w:r>
            <w:r w:rsidR="00667703">
              <w:rPr>
                <w:lang w:val="el-GR"/>
              </w:rPr>
              <w:t>ΑΠΕ</w:t>
            </w:r>
            <w:r w:rsidR="00301943">
              <w:rPr>
                <w:lang w:val="el-GR"/>
              </w:rPr>
              <w:t>,</w:t>
            </w:r>
            <w:r w:rsidR="00A45C0E">
              <w:rPr>
                <w:lang w:val="el-GR"/>
              </w:rPr>
              <w:t xml:space="preserve"> να είναι χαμηλότερο το μεσημέρι </w:t>
            </w:r>
            <w:r w:rsidR="00667703">
              <w:rPr>
                <w:lang w:val="el-GR"/>
              </w:rPr>
              <w:t xml:space="preserve">(ώρες με </w:t>
            </w:r>
            <w:r w:rsidR="00225485">
              <w:rPr>
                <w:lang w:val="el-GR"/>
              </w:rPr>
              <w:t xml:space="preserve">αέρα και </w:t>
            </w:r>
            <w:r w:rsidR="00667703">
              <w:rPr>
                <w:lang w:val="el-GR"/>
              </w:rPr>
              <w:t xml:space="preserve">ηλιοφάνεια) </w:t>
            </w:r>
            <w:r w:rsidR="00A45C0E">
              <w:rPr>
                <w:lang w:val="el-GR"/>
              </w:rPr>
              <w:t xml:space="preserve">από το βράδυ (ώρες </w:t>
            </w:r>
            <w:r w:rsidR="00225485">
              <w:rPr>
                <w:lang w:val="el-GR"/>
              </w:rPr>
              <w:t xml:space="preserve">με αέρα, </w:t>
            </w:r>
            <w:r w:rsidR="00A45C0E">
              <w:rPr>
                <w:lang w:val="el-GR"/>
              </w:rPr>
              <w:t>χ</w:t>
            </w:r>
            <w:bookmarkStart w:id="0" w:name="_GoBack"/>
            <w:bookmarkEnd w:id="0"/>
            <w:r w:rsidR="00A45C0E">
              <w:rPr>
                <w:lang w:val="el-GR"/>
              </w:rPr>
              <w:t>ωρίς ηλιοφάνεια).</w:t>
            </w:r>
            <w:r w:rsidR="00A45C0E">
              <w:rPr>
                <w:lang w:val="el-GR"/>
              </w:rPr>
              <w:br/>
            </w:r>
          </w:p>
        </w:tc>
        <w:tc>
          <w:tcPr>
            <w:tcW w:w="567" w:type="dxa"/>
          </w:tcPr>
          <w:p w:rsidR="00C7339B" w:rsidRPr="00365DDE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365DDE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C7339B" w:rsidRDefault="00926996" w:rsidP="00926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lang w:val="el-GR"/>
              </w:rPr>
            </w:pPr>
            <w:r>
              <w:rPr>
                <w:lang w:val="el-GR"/>
              </w:rPr>
              <w:t>Σύμφωνα με την συζήτηση περί «κατάρας των πόρων»</w:t>
            </w:r>
            <w:r w:rsidR="00301943">
              <w:rPr>
                <w:lang w:val="el-GR"/>
              </w:rPr>
              <w:t xml:space="preserve">, σε </w:t>
            </w:r>
            <w:r>
              <w:rPr>
                <w:lang w:val="el-GR"/>
              </w:rPr>
              <w:t>χώρες πλούσιες σε μη ανανεώσιμ</w:t>
            </w:r>
            <w:r w:rsidR="009C09C6">
              <w:rPr>
                <w:lang w:val="el-GR"/>
              </w:rPr>
              <w:t>ε</w:t>
            </w:r>
            <w:r>
              <w:rPr>
                <w:lang w:val="el-GR"/>
              </w:rPr>
              <w:t xml:space="preserve">ς </w:t>
            </w:r>
            <w:r w:rsidR="009C09C6">
              <w:rPr>
                <w:lang w:val="el-GR"/>
              </w:rPr>
              <w:t>πηγές ενέργειας</w:t>
            </w:r>
            <w:r>
              <w:rPr>
                <w:lang w:val="el-GR"/>
              </w:rPr>
              <w:t xml:space="preserve"> η αφθονία των κοιτασμάτων </w:t>
            </w:r>
            <w:r w:rsidR="00667703">
              <w:rPr>
                <w:lang w:val="el-GR"/>
              </w:rPr>
              <w:t xml:space="preserve">μπορεί να </w:t>
            </w:r>
            <w:r>
              <w:rPr>
                <w:lang w:val="el-GR"/>
              </w:rPr>
              <w:t>συνιστά κατάρα για τη</w:t>
            </w:r>
            <w:r w:rsidR="009C09C6">
              <w:rPr>
                <w:lang w:val="el-GR"/>
              </w:rPr>
              <w:t xml:space="preserve"> βιώσιμη</w:t>
            </w:r>
            <w:r>
              <w:rPr>
                <w:lang w:val="el-GR"/>
              </w:rPr>
              <w:t xml:space="preserve"> ανάπτυξή τους</w:t>
            </w:r>
            <w:r w:rsidR="00301943">
              <w:rPr>
                <w:lang w:val="el-GR"/>
              </w:rPr>
              <w:t>. Ο λόγος είναι πως η αφθονία κοιτασμάτων δυσχαιρένει την εύρυθμη λειτουργία</w:t>
            </w:r>
            <w:r w:rsidR="00223CF1">
              <w:rPr>
                <w:lang w:val="el-GR"/>
              </w:rPr>
              <w:t xml:space="preserve"> </w:t>
            </w:r>
            <w:r w:rsidR="00BE4FC6">
              <w:rPr>
                <w:lang w:val="el-GR"/>
              </w:rPr>
              <w:t>κρατικών θεσμών</w:t>
            </w:r>
            <w:r w:rsidR="00301943">
              <w:rPr>
                <w:lang w:val="el-GR"/>
              </w:rPr>
              <w:t>.</w:t>
            </w:r>
          </w:p>
          <w:p w:rsidR="00926996" w:rsidRPr="00926996" w:rsidRDefault="00926996" w:rsidP="00926996">
            <w:pPr>
              <w:pStyle w:val="ListParagraph"/>
              <w:spacing w:after="0" w:line="240" w:lineRule="auto"/>
              <w:ind w:left="330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926996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926996" w:rsidRDefault="00C7339B" w:rsidP="00E825B8">
            <w:pPr>
              <w:rPr>
                <w:lang w:val="el-GR"/>
              </w:rPr>
            </w:pPr>
          </w:p>
        </w:tc>
      </w:tr>
      <w:tr w:rsidR="004E4613" w:rsidRPr="000F579E" w:rsidTr="004E4613">
        <w:tc>
          <w:tcPr>
            <w:tcW w:w="7933" w:type="dxa"/>
          </w:tcPr>
          <w:p w:rsidR="00C7339B" w:rsidRDefault="0034423D" w:rsidP="00C133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lang w:val="el-GR"/>
              </w:rPr>
            </w:pPr>
            <w:r>
              <w:rPr>
                <w:lang w:val="el-GR"/>
              </w:rPr>
              <w:t>Σε μία</w:t>
            </w:r>
            <w:r w:rsidR="00F01446">
              <w:rPr>
                <w:lang w:val="el-GR"/>
              </w:rPr>
              <w:t xml:space="preserve"> </w:t>
            </w:r>
            <w:r w:rsidR="00F01446">
              <w:rPr>
                <w:lang w:val="en-GB"/>
              </w:rPr>
              <w:t>log</w:t>
            </w:r>
            <w:r w:rsidR="00F01446" w:rsidRPr="00F01446">
              <w:rPr>
                <w:lang w:val="el-GR"/>
              </w:rPr>
              <w:t>-</w:t>
            </w:r>
            <w:r w:rsidR="00F01446">
              <w:rPr>
                <w:lang w:val="en-GB"/>
              </w:rPr>
              <w:t>log</w:t>
            </w:r>
            <w:r>
              <w:rPr>
                <w:lang w:val="el-GR"/>
              </w:rPr>
              <w:t xml:space="preserve"> </w:t>
            </w:r>
            <w:r>
              <w:rPr>
                <w:lang w:val="en-GB"/>
              </w:rPr>
              <w:t>OLS</w:t>
            </w:r>
            <w:r w:rsidRPr="0034423D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παλινδρόμηση </w:t>
            </w:r>
            <w:r w:rsidR="00F01446">
              <w:rPr>
                <w:lang w:val="el-GR"/>
              </w:rPr>
              <w:t>οι</w:t>
            </w:r>
            <w:r w:rsidR="006F370A">
              <w:rPr>
                <w:lang w:val="el-GR"/>
              </w:rPr>
              <w:t xml:space="preserve"> εκτιμήσεις των </w:t>
            </w:r>
            <w:r>
              <w:rPr>
                <w:lang w:val="el-GR"/>
              </w:rPr>
              <w:t>συντελεστ</w:t>
            </w:r>
            <w:r w:rsidR="006F370A">
              <w:rPr>
                <w:lang w:val="el-GR"/>
              </w:rPr>
              <w:t>ών</w:t>
            </w:r>
            <w:r>
              <w:rPr>
                <w:lang w:val="el-GR"/>
              </w:rPr>
              <w:t xml:space="preserve"> β μπροστά από τις εκάστοτε ανεξάρτητες μεταβλητές υποδηλώνουν </w:t>
            </w:r>
            <w:r w:rsidR="009A1C03">
              <w:rPr>
                <w:lang w:val="el-GR"/>
              </w:rPr>
              <w:t>ε</w:t>
            </w:r>
            <w:r w:rsidR="00335343">
              <w:rPr>
                <w:lang w:val="el-GR"/>
              </w:rPr>
              <w:t xml:space="preserve">λαστικότητες. </w:t>
            </w:r>
          </w:p>
          <w:p w:rsidR="00863076" w:rsidRPr="0034423D" w:rsidRDefault="00863076" w:rsidP="00863076">
            <w:pPr>
              <w:pStyle w:val="ListParagraph"/>
              <w:spacing w:after="0" w:line="240" w:lineRule="auto"/>
              <w:ind w:left="306"/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926996" w:rsidRDefault="00C7339B" w:rsidP="00E825B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C7339B" w:rsidRPr="00926996" w:rsidRDefault="00C7339B" w:rsidP="00E825B8">
            <w:pPr>
              <w:rPr>
                <w:lang w:val="el-GR"/>
              </w:rPr>
            </w:pPr>
          </w:p>
        </w:tc>
      </w:tr>
    </w:tbl>
    <w:p w:rsidR="001535E4" w:rsidRDefault="001535E4">
      <w:pPr>
        <w:rPr>
          <w:lang w:val="el-GR"/>
        </w:rPr>
      </w:pPr>
    </w:p>
    <w:p w:rsidR="0090454C" w:rsidRDefault="0090454C">
      <w:pPr>
        <w:rPr>
          <w:lang w:val="el-GR"/>
        </w:rPr>
      </w:pPr>
    </w:p>
    <w:p w:rsidR="0090454C" w:rsidRDefault="0090454C">
      <w:pPr>
        <w:rPr>
          <w:lang w:val="el-GR"/>
        </w:rPr>
      </w:pPr>
    </w:p>
    <w:p w:rsidR="00667703" w:rsidRDefault="00667703">
      <w:pPr>
        <w:rPr>
          <w:lang w:val="el-GR"/>
        </w:rPr>
      </w:pPr>
    </w:p>
    <w:p w:rsidR="009360DF" w:rsidRDefault="009360DF" w:rsidP="0090454C">
      <w:pPr>
        <w:rPr>
          <w:rFonts w:eastAsia="Times New Roman" w:cs="Times New Roman"/>
          <w:b/>
          <w:sz w:val="22"/>
          <w:szCs w:val="22"/>
          <w:lang w:val="el-GR"/>
        </w:rPr>
      </w:pPr>
    </w:p>
    <w:p w:rsidR="000F579E" w:rsidRDefault="000F579E" w:rsidP="0090454C">
      <w:pPr>
        <w:rPr>
          <w:rFonts w:eastAsia="Times New Roman" w:cs="Times New Roman"/>
          <w:b/>
          <w:sz w:val="22"/>
          <w:szCs w:val="22"/>
          <w:lang w:val="el-GR"/>
        </w:rPr>
      </w:pPr>
    </w:p>
    <w:p w:rsidR="0090454C" w:rsidRPr="00962808" w:rsidRDefault="0090454C" w:rsidP="0090454C">
      <w:pPr>
        <w:rPr>
          <w:rFonts w:eastAsia="Times New Roman" w:cs="Times New Roman"/>
          <w:b/>
          <w:sz w:val="22"/>
          <w:szCs w:val="22"/>
          <w:lang w:val="el-GR"/>
        </w:rPr>
      </w:pPr>
      <w:r w:rsidRPr="00962808">
        <w:rPr>
          <w:rFonts w:eastAsia="Times New Roman" w:cs="Times New Roman"/>
          <w:b/>
          <w:sz w:val="22"/>
          <w:szCs w:val="22"/>
          <w:lang w:val="el-GR"/>
        </w:rPr>
        <w:t xml:space="preserve">2. </w:t>
      </w:r>
      <w:r w:rsidR="00D11D2C" w:rsidRPr="00962808">
        <w:rPr>
          <w:rFonts w:eastAsia="Times New Roman" w:cs="Times New Roman"/>
          <w:b/>
          <w:sz w:val="22"/>
          <w:szCs w:val="22"/>
          <w:lang w:val="el-GR"/>
        </w:rPr>
        <w:t>Μη ανανεώσιμες πηγές ενέργειας</w:t>
      </w:r>
      <w:r w:rsidR="002565B9" w:rsidRPr="00962808">
        <w:rPr>
          <w:rFonts w:eastAsia="Times New Roman" w:cs="Times New Roman"/>
          <w:b/>
          <w:sz w:val="22"/>
          <w:szCs w:val="22"/>
          <w:lang w:val="el-GR"/>
        </w:rPr>
        <w:t xml:space="preserve"> (20 βαθμοί)</w:t>
      </w:r>
    </w:p>
    <w:p w:rsidR="00D11D2C" w:rsidRPr="00D11D2C" w:rsidRDefault="00D11D2C" w:rsidP="0090454C">
      <w:pPr>
        <w:rPr>
          <w:rFonts w:eastAsia="Times New Roman" w:cs="Times New Roman"/>
          <w:sz w:val="22"/>
          <w:szCs w:val="22"/>
          <w:lang w:val="el-GR"/>
        </w:rPr>
      </w:pPr>
    </w:p>
    <w:p w:rsidR="0090454C" w:rsidRPr="00D11D2C" w:rsidRDefault="00D11D2C" w:rsidP="0090454C">
      <w:pPr>
        <w:rPr>
          <w:rFonts w:eastAsia="Times New Roman" w:cs="Times New Roman"/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/>
        </w:rPr>
        <w:t xml:space="preserve">Είναι ευρέως γνωστό πως οι τιμές του πετρελαίου δεν ακολουθούν τον απλό κανόνα του </w:t>
      </w:r>
      <w:proofErr w:type="spellStart"/>
      <w:r>
        <w:rPr>
          <w:rFonts w:eastAsia="Times New Roman" w:cs="Times New Roman"/>
          <w:sz w:val="22"/>
          <w:szCs w:val="22"/>
          <w:lang w:val="en-GB"/>
        </w:rPr>
        <w:t>Hotelling</w:t>
      </w:r>
      <w:proofErr w:type="spellEnd"/>
      <w:r w:rsidRPr="00D11D2C">
        <w:rPr>
          <w:rFonts w:eastAsia="Times New Roman" w:cs="Times New Roman"/>
          <w:sz w:val="22"/>
          <w:szCs w:val="22"/>
          <w:lang w:val="el-GR"/>
        </w:rPr>
        <w:t xml:space="preserve">, </w:t>
      </w:r>
      <w:r>
        <w:rPr>
          <w:rFonts w:eastAsia="Times New Roman" w:cs="Times New Roman"/>
          <w:sz w:val="22"/>
          <w:szCs w:val="22"/>
          <w:lang w:val="el-GR"/>
        </w:rPr>
        <w:t xml:space="preserve">δηλ. </w:t>
      </w:r>
      <m:oMath>
        <m:r>
          <w:rPr>
            <w:rFonts w:ascii="Cambria Math" w:eastAsia="Times New Roman" w:hAnsi="Cambria Math" w:cs="Times New Roman"/>
            <w:sz w:val="22"/>
            <w:szCs w:val="22"/>
            <w:lang w:val="en-GB"/>
          </w:rPr>
          <m:t>p</m:t>
        </m:r>
        <m:r>
          <w:rPr>
            <w:rFonts w:ascii="Cambria Math" w:eastAsia="Times New Roman" w:hAnsi="Cambria Math" w:cs="Times New Roman"/>
            <w:sz w:val="22"/>
            <w:szCs w:val="22"/>
            <w:lang w:val="el-GR"/>
          </w:rPr>
          <m:t>(t+1)/</m:t>
        </m:r>
        <m:r>
          <w:rPr>
            <w:rFonts w:ascii="Cambria Math" w:eastAsia="Times New Roman" w:hAnsi="Cambria Math" w:cs="Times New Roman"/>
            <w:sz w:val="22"/>
            <w:szCs w:val="22"/>
          </w:rPr>
          <m:t>p</m:t>
        </m:r>
        <m:r>
          <w:rPr>
            <w:rFonts w:ascii="Cambria Math" w:eastAsia="Times New Roman" w:hAnsi="Cambria Math" w:cs="Times New Roman"/>
            <w:sz w:val="22"/>
            <w:szCs w:val="22"/>
            <w:lang w:val="el-GR"/>
          </w:rPr>
          <m:t>(</m:t>
        </m:r>
        <m:r>
          <w:rPr>
            <w:rFonts w:ascii="Cambria Math" w:eastAsia="Times New Roman" w:hAnsi="Cambria Math" w:cs="Times New Roman"/>
            <w:sz w:val="22"/>
            <w:szCs w:val="22"/>
          </w:rPr>
          <m:t>t</m:t>
        </m:r>
        <m:r>
          <w:rPr>
            <w:rFonts w:ascii="Cambria Math" w:eastAsia="Times New Roman" w:hAnsi="Cambria Math" w:cs="Times New Roman"/>
            <w:sz w:val="22"/>
            <w:szCs w:val="22"/>
            <w:lang w:val="el-GR"/>
          </w:rPr>
          <m:t>)=1+</m:t>
        </m:r>
        <m:r>
          <w:rPr>
            <w:rFonts w:ascii="Cambria Math" w:eastAsia="Times New Roman" w:hAnsi="Cambria Math" w:cs="Times New Roman"/>
            <w:sz w:val="22"/>
            <w:szCs w:val="22"/>
          </w:rPr>
          <m:t>r</m:t>
        </m:r>
      </m:oMath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. </w:t>
      </w:r>
      <w:r>
        <w:rPr>
          <w:rFonts w:eastAsia="Times New Roman" w:cs="Times New Roman"/>
          <w:sz w:val="22"/>
          <w:szCs w:val="22"/>
          <w:lang w:val="el-GR"/>
        </w:rPr>
        <w:t>Ως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παράδειγμα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το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παρακάτω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γράφημα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δείχνει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την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ιστορική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εξέλιξη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της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τιμής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του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sz w:val="22"/>
          <w:szCs w:val="22"/>
          <w:lang w:val="el-GR"/>
        </w:rPr>
        <w:t>πετρελαίου</w:t>
      </w:r>
      <w:r w:rsidRPr="00D11D2C">
        <w:rPr>
          <w:rFonts w:eastAsia="Times New Roman" w:cs="Times New Roman"/>
          <w:sz w:val="22"/>
          <w:szCs w:val="22"/>
          <w:lang w:val="el-GR"/>
        </w:rPr>
        <w:t xml:space="preserve"> </w:t>
      </w:r>
      <w:r w:rsidR="0090454C" w:rsidRPr="00F87EA9">
        <w:rPr>
          <w:rFonts w:eastAsia="Times New Roman" w:cs="Times New Roman"/>
          <w:sz w:val="22"/>
          <w:szCs w:val="22"/>
        </w:rPr>
        <w:t>WTI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 (</w:t>
      </w:r>
      <w:r>
        <w:rPr>
          <w:rFonts w:eastAsia="Times New Roman" w:cs="Times New Roman"/>
          <w:sz w:val="22"/>
          <w:szCs w:val="22"/>
          <w:lang w:val="el-GR"/>
        </w:rPr>
        <w:t xml:space="preserve">σε 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>$/</w:t>
      </w:r>
      <w:r w:rsidR="0090454C" w:rsidRPr="00F87EA9">
        <w:rPr>
          <w:rFonts w:eastAsia="Times New Roman" w:cs="Times New Roman"/>
          <w:sz w:val="22"/>
          <w:szCs w:val="22"/>
        </w:rPr>
        <w:t>barrel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) </w:t>
      </w:r>
      <w:r>
        <w:rPr>
          <w:rFonts w:eastAsia="Times New Roman" w:cs="Times New Roman"/>
          <w:sz w:val="22"/>
          <w:szCs w:val="22"/>
          <w:lang w:val="el-GR"/>
        </w:rPr>
        <w:t>από το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 1950</w:t>
      </w:r>
      <w:r w:rsidR="00667703">
        <w:rPr>
          <w:rFonts w:eastAsia="Times New Roman" w:cs="Times New Roman"/>
          <w:sz w:val="22"/>
          <w:szCs w:val="22"/>
          <w:lang w:val="el-GR"/>
        </w:rPr>
        <w:t xml:space="preserve"> μέχρι το 2016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 (</w:t>
      </w:r>
      <w:r>
        <w:rPr>
          <w:rFonts w:eastAsia="Times New Roman" w:cs="Times New Roman"/>
          <w:sz w:val="22"/>
          <w:szCs w:val="22"/>
          <w:lang w:val="el-GR"/>
        </w:rPr>
        <w:t>οι γκρι περιοχές υποδηλώνουν παγκόσμιες υφέσεις</w:t>
      </w:r>
      <w:r w:rsidR="006071C1">
        <w:rPr>
          <w:rFonts w:eastAsia="Times New Roman" w:cs="Times New Roman"/>
          <w:sz w:val="22"/>
          <w:szCs w:val="22"/>
          <w:lang w:val="el-GR"/>
        </w:rPr>
        <w:t>)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 xml:space="preserve">. </w:t>
      </w:r>
      <w:r w:rsidR="006B7F8D">
        <w:rPr>
          <w:rFonts w:eastAsia="Times New Roman" w:cs="Times New Roman"/>
          <w:sz w:val="22"/>
          <w:szCs w:val="22"/>
          <w:lang w:val="el-GR"/>
        </w:rPr>
        <w:t>Εξηγείστε περιληπτικά</w:t>
      </w:r>
      <w:r>
        <w:rPr>
          <w:rFonts w:eastAsia="Times New Roman" w:cs="Times New Roman"/>
          <w:sz w:val="22"/>
          <w:szCs w:val="22"/>
          <w:lang w:val="el-GR"/>
        </w:rPr>
        <w:t xml:space="preserve"> πιθανούς λόγους πίσω από τις παρακάτω </w:t>
      </w:r>
      <w:r w:rsidR="00E5713E">
        <w:rPr>
          <w:rFonts w:eastAsia="Times New Roman" w:cs="Times New Roman"/>
          <w:sz w:val="22"/>
          <w:szCs w:val="22"/>
          <w:lang w:val="el-GR"/>
        </w:rPr>
        <w:t xml:space="preserve">συμπεριφορές της τιμής 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>(</w:t>
      </w:r>
      <w:r>
        <w:rPr>
          <w:rFonts w:eastAsia="Times New Roman" w:cs="Times New Roman"/>
          <w:sz w:val="22"/>
          <w:szCs w:val="22"/>
          <w:lang w:val="el-GR"/>
        </w:rPr>
        <w:t>ένα λόγο σε κάθε περίπτωση</w:t>
      </w:r>
      <w:r w:rsidR="0090454C" w:rsidRPr="00D11D2C">
        <w:rPr>
          <w:rFonts w:eastAsia="Times New Roman" w:cs="Times New Roman"/>
          <w:sz w:val="22"/>
          <w:szCs w:val="22"/>
          <w:lang w:val="el-GR"/>
        </w:rPr>
        <w:t>):</w:t>
      </w:r>
    </w:p>
    <w:p w:rsidR="0090454C" w:rsidRPr="00D11D2C" w:rsidRDefault="0090454C" w:rsidP="0090454C">
      <w:pPr>
        <w:rPr>
          <w:rFonts w:eastAsia="Times New Roman" w:cs="Times New Roman"/>
          <w:sz w:val="22"/>
          <w:szCs w:val="22"/>
          <w:lang w:val="el-GR"/>
        </w:rPr>
      </w:pPr>
    </w:p>
    <w:p w:rsidR="000F579E" w:rsidRDefault="000F579E" w:rsidP="0090454C">
      <w:pPr>
        <w:pStyle w:val="ListParagraph"/>
        <w:numPr>
          <w:ilvl w:val="0"/>
          <w:numId w:val="2"/>
        </w:num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Σταθερή και ελαφρώς πτωτική τάση της τιμής μεταξύ 1950-1970</w:t>
      </w:r>
    </w:p>
    <w:p w:rsidR="0090454C" w:rsidRDefault="002565B9" w:rsidP="0090454C">
      <w:pPr>
        <w:pStyle w:val="ListParagraph"/>
        <w:numPr>
          <w:ilvl w:val="0"/>
          <w:numId w:val="2"/>
        </w:num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Απότομη</w:t>
      </w:r>
      <w:r w:rsidRPr="002565B9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αύξηση</w:t>
      </w:r>
      <w:r w:rsidRPr="002565B9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της</w:t>
      </w:r>
      <w:r w:rsidRPr="002565B9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τιμής</w:t>
      </w:r>
      <w:r w:rsidRPr="002565B9">
        <w:rPr>
          <w:rFonts w:eastAsia="Times New Roman" w:cs="Times New Roman"/>
          <w:lang w:val="el-GR"/>
        </w:rPr>
        <w:t xml:space="preserve"> </w:t>
      </w:r>
      <w:r>
        <w:rPr>
          <w:rFonts w:eastAsia="Times New Roman" w:cs="Times New Roman"/>
          <w:lang w:val="el-GR"/>
        </w:rPr>
        <w:t>στην αρχή της δεκαετίας του</w:t>
      </w:r>
      <w:r w:rsidR="0090454C" w:rsidRPr="002565B9">
        <w:rPr>
          <w:rFonts w:eastAsia="Times New Roman" w:cs="Times New Roman"/>
          <w:lang w:val="el-GR"/>
        </w:rPr>
        <w:t xml:space="preserve"> 1970</w:t>
      </w:r>
    </w:p>
    <w:p w:rsidR="006B7F8D" w:rsidRPr="002565B9" w:rsidRDefault="006B7F8D" w:rsidP="0090454C">
      <w:pPr>
        <w:pStyle w:val="ListParagraph"/>
        <w:numPr>
          <w:ilvl w:val="0"/>
          <w:numId w:val="2"/>
        </w:num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Εκθετική αύξηση της τιμής μεταξύ 2000 -2008</w:t>
      </w:r>
    </w:p>
    <w:p w:rsidR="00962808" w:rsidRPr="009D7DB9" w:rsidRDefault="002565B9" w:rsidP="009D7DB9">
      <w:pPr>
        <w:pStyle w:val="ListParagraph"/>
        <w:numPr>
          <w:ilvl w:val="0"/>
          <w:numId w:val="2"/>
        </w:num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Απότομη μείωση της τιμής</w:t>
      </w:r>
      <w:r w:rsidR="006B7F8D">
        <w:rPr>
          <w:rFonts w:eastAsia="Times New Roman" w:cs="Times New Roman"/>
          <w:lang w:val="el-GR"/>
        </w:rPr>
        <w:t xml:space="preserve"> </w:t>
      </w:r>
      <w:r w:rsidR="006D77D4">
        <w:rPr>
          <w:rFonts w:eastAsia="Times New Roman" w:cs="Times New Roman"/>
          <w:lang w:val="el-GR"/>
        </w:rPr>
        <w:t>τ</w:t>
      </w:r>
      <w:r w:rsidR="000F579E">
        <w:rPr>
          <w:rFonts w:eastAsia="Times New Roman" w:cs="Times New Roman"/>
          <w:lang w:val="el-GR"/>
        </w:rPr>
        <w:t>η διετία 2014-2015</w:t>
      </w:r>
      <w:r w:rsidR="0090454C" w:rsidRPr="00962808">
        <w:rPr>
          <w:rFonts w:eastAsia="Times New Roman" w:cs="Times New Roman"/>
          <w:lang w:val="el-GR"/>
        </w:rPr>
        <w:t>.</w:t>
      </w:r>
    </w:p>
    <w:p w:rsidR="00962808" w:rsidRDefault="00962808">
      <w:pPr>
        <w:rPr>
          <w:lang w:val="el-GR"/>
        </w:rPr>
      </w:pPr>
    </w:p>
    <w:p w:rsidR="00962808" w:rsidRDefault="000F579E" w:rsidP="009D7DB9">
      <w:pPr>
        <w:jc w:val="center"/>
        <w:rPr>
          <w:lang w:val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A0CE8" wp14:editId="364DE118">
                <wp:simplePos x="0" y="0"/>
                <wp:positionH relativeFrom="column">
                  <wp:posOffset>1866900</wp:posOffset>
                </wp:positionH>
                <wp:positionV relativeFrom="paragraph">
                  <wp:posOffset>1817370</wp:posOffset>
                </wp:positionV>
                <wp:extent cx="0" cy="234086"/>
                <wp:effectExtent l="76200" t="38100" r="57150" b="139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F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pt;margin-top:143.1pt;width:0;height:18.4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="009A1C0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9A917" wp14:editId="4548BAC9">
                <wp:simplePos x="0" y="0"/>
                <wp:positionH relativeFrom="column">
                  <wp:posOffset>4328160</wp:posOffset>
                </wp:positionH>
                <wp:positionV relativeFrom="paragraph">
                  <wp:posOffset>1584960</wp:posOffset>
                </wp:positionV>
                <wp:extent cx="0" cy="233680"/>
                <wp:effectExtent l="76200" t="38100" r="57150" b="139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E27B" id="Straight Arrow Connector 3" o:spid="_x0000_s1026" type="#_x0000_t32" style="position:absolute;margin-left:340.8pt;margin-top:124.8pt;width:0;height:18.4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9A1C0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159AA" wp14:editId="0B897713">
                <wp:simplePos x="0" y="0"/>
                <wp:positionH relativeFrom="column">
                  <wp:posOffset>3881120</wp:posOffset>
                </wp:positionH>
                <wp:positionV relativeFrom="paragraph">
                  <wp:posOffset>1664970</wp:posOffset>
                </wp:positionV>
                <wp:extent cx="0" cy="234086"/>
                <wp:effectExtent l="76200" t="38100" r="57150" b="139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EE57" id="Straight Arrow Connector 2" o:spid="_x0000_s1026" type="#_x0000_t32" style="position:absolute;margin-left:305.6pt;margin-top:131.1pt;width:0;height:18.4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6B7F8D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1932" wp14:editId="412C5B9F">
                <wp:simplePos x="0" y="0"/>
                <wp:positionH relativeFrom="column">
                  <wp:posOffset>2439670</wp:posOffset>
                </wp:positionH>
                <wp:positionV relativeFrom="paragraph">
                  <wp:posOffset>1835785</wp:posOffset>
                </wp:positionV>
                <wp:extent cx="0" cy="234086"/>
                <wp:effectExtent l="76200" t="38100" r="57150" b="139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A67D" id="Straight Arrow Connector 32" o:spid="_x0000_s1026" type="#_x0000_t32" style="position:absolute;margin-left:192.1pt;margin-top:144.55pt;width:0;height:18.4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9D7DB9">
        <w:rPr>
          <w:rFonts w:eastAsia="Times New Roman" w:cs="Times New Roman"/>
          <w:noProof/>
        </w:rPr>
        <w:drawing>
          <wp:inline distT="0" distB="0" distL="0" distR="0" wp14:anchorId="4847ED27" wp14:editId="0A61DBDF">
            <wp:extent cx="3703955" cy="21405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ude-oil-price-history-chart-2018-05-24-macrotren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88" cy="21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08" w:rsidRDefault="009A1C03">
      <w:pPr>
        <w:rPr>
          <w:lang w:val="el-GR"/>
        </w:rPr>
      </w:pPr>
      <w:r>
        <w:rPr>
          <w:lang w:val="el-GR"/>
        </w:rPr>
        <w:t>Απάντηση:</w:t>
      </w: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A95BED" w:rsidRDefault="00A95BED">
      <w:pPr>
        <w:rPr>
          <w:lang w:val="el-GR"/>
        </w:rPr>
      </w:pPr>
    </w:p>
    <w:p w:rsidR="00A95BED" w:rsidRDefault="00A95BED">
      <w:pPr>
        <w:rPr>
          <w:lang w:val="el-GR"/>
        </w:rPr>
      </w:pPr>
    </w:p>
    <w:p w:rsidR="00A95BED" w:rsidRDefault="00A95BED">
      <w:pPr>
        <w:rPr>
          <w:lang w:val="el-GR"/>
        </w:rPr>
      </w:pPr>
    </w:p>
    <w:p w:rsidR="00962808" w:rsidRDefault="00962808">
      <w:pPr>
        <w:rPr>
          <w:lang w:val="el-GR"/>
        </w:rPr>
      </w:pPr>
    </w:p>
    <w:p w:rsidR="00F82350" w:rsidRDefault="00F82350">
      <w:pPr>
        <w:rPr>
          <w:lang w:val="el-GR"/>
        </w:rPr>
      </w:pPr>
    </w:p>
    <w:p w:rsidR="00D54433" w:rsidRDefault="00D54433">
      <w:pPr>
        <w:rPr>
          <w:lang w:val="el-GR"/>
        </w:rPr>
      </w:pPr>
    </w:p>
    <w:p w:rsidR="00F82350" w:rsidRDefault="00F82350">
      <w:pPr>
        <w:rPr>
          <w:lang w:val="el-GR"/>
        </w:rPr>
      </w:pPr>
    </w:p>
    <w:p w:rsidR="00F82350" w:rsidRDefault="00F82350">
      <w:pPr>
        <w:rPr>
          <w:lang w:val="el-GR"/>
        </w:rPr>
      </w:pPr>
    </w:p>
    <w:p w:rsidR="009360DF" w:rsidRDefault="009360DF">
      <w:pPr>
        <w:rPr>
          <w:rFonts w:eastAsia="Times New Roman" w:cs="Times New Roman"/>
          <w:b/>
          <w:sz w:val="22"/>
          <w:szCs w:val="22"/>
          <w:lang w:val="el-GR"/>
        </w:rPr>
      </w:pPr>
    </w:p>
    <w:p w:rsidR="00962808" w:rsidRDefault="000F579E">
      <w:pPr>
        <w:rPr>
          <w:rFonts w:eastAsia="Times New Roman" w:cs="Times New Roman"/>
          <w:b/>
          <w:sz w:val="22"/>
          <w:szCs w:val="22"/>
          <w:lang w:val="el-GR"/>
        </w:rPr>
      </w:pPr>
      <w:r>
        <w:rPr>
          <w:rFonts w:eastAsia="Times New Roman" w:cs="Times New Roman"/>
          <w:b/>
          <w:sz w:val="22"/>
          <w:szCs w:val="22"/>
          <w:lang w:val="el-GR"/>
        </w:rPr>
        <w:lastRenderedPageBreak/>
        <w:br/>
      </w:r>
      <w:r w:rsidR="00962808">
        <w:rPr>
          <w:rFonts w:eastAsia="Times New Roman" w:cs="Times New Roman"/>
          <w:b/>
          <w:sz w:val="22"/>
          <w:szCs w:val="22"/>
          <w:lang w:val="el-GR"/>
        </w:rPr>
        <w:t>3</w:t>
      </w:r>
      <w:r w:rsidR="00962808" w:rsidRPr="00962808">
        <w:rPr>
          <w:rFonts w:eastAsia="Times New Roman" w:cs="Times New Roman"/>
          <w:b/>
          <w:sz w:val="22"/>
          <w:szCs w:val="22"/>
          <w:lang w:val="el-GR"/>
        </w:rPr>
        <w:t xml:space="preserve">. </w:t>
      </w:r>
      <w:r w:rsidR="00962808">
        <w:rPr>
          <w:rFonts w:eastAsia="Times New Roman" w:cs="Times New Roman"/>
          <w:b/>
          <w:sz w:val="22"/>
          <w:szCs w:val="22"/>
          <w:lang w:val="el-GR"/>
        </w:rPr>
        <w:t>Ηλεκτρισμός</w:t>
      </w:r>
      <w:r w:rsidR="00962808" w:rsidRPr="00962808">
        <w:rPr>
          <w:rFonts w:eastAsia="Times New Roman" w:cs="Times New Roman"/>
          <w:b/>
          <w:sz w:val="22"/>
          <w:szCs w:val="22"/>
          <w:lang w:val="el-GR"/>
        </w:rPr>
        <w:t xml:space="preserve"> (20 βαθμοί)</w:t>
      </w:r>
    </w:p>
    <w:p w:rsidR="00962808" w:rsidRDefault="00962808">
      <w:pPr>
        <w:rPr>
          <w:lang w:val="el-GR"/>
        </w:rPr>
      </w:pPr>
    </w:p>
    <w:p w:rsidR="00DF5696" w:rsidRPr="00DF5696" w:rsidRDefault="00DF5696" w:rsidP="00DF5696">
      <w:pPr>
        <w:jc w:val="both"/>
        <w:rPr>
          <w:sz w:val="22"/>
          <w:szCs w:val="22"/>
          <w:lang w:val="el-GR"/>
        </w:rPr>
      </w:pPr>
      <w:r w:rsidRPr="00DF5696">
        <w:rPr>
          <w:lang w:val="el-GR"/>
        </w:rPr>
        <w:t>Έστω μια δημοπρασία ενιαίας τιμής με τις ακόλουθες προσφορές</w:t>
      </w:r>
      <w:r>
        <w:rPr>
          <w:lang w:val="el-GR"/>
        </w:rPr>
        <w:t xml:space="preserve"> αγοράς και πώλησης</w:t>
      </w:r>
      <w:r w:rsidRPr="00DF5696">
        <w:rPr>
          <w:lang w:val="el-GR"/>
        </w:rPr>
        <w:t xml:space="preserve">: </w:t>
      </w:r>
      <w:r>
        <w:rPr>
          <w:lang w:val="el-GR"/>
        </w:rPr>
        <w:br/>
      </w:r>
    </w:p>
    <w:p w:rsidR="00DF5696" w:rsidRPr="00DF569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Α1: μια προσφορά αγοράς 100 </w:t>
      </w:r>
      <w:r w:rsidRPr="00DF5696">
        <w:rPr>
          <w:lang w:val="fr-FR"/>
        </w:rPr>
        <w:t>MWh</w:t>
      </w:r>
      <w:r w:rsidRPr="00DF5696">
        <w:rPr>
          <w:lang w:val="el-GR"/>
        </w:rPr>
        <w:t xml:space="preserve"> στα 100 €/</w:t>
      </w:r>
      <w:r w:rsidRPr="00DF5696">
        <w:rPr>
          <w:lang w:val="fr-FR"/>
        </w:rPr>
        <w:t>MWh</w:t>
      </w:r>
    </w:p>
    <w:p w:rsidR="00DF5696" w:rsidRPr="00DF569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Α2: μια προσφορά αγοράς 100 </w:t>
      </w:r>
      <w:r w:rsidRPr="00DF5696">
        <w:rPr>
          <w:lang w:val="fr-FR"/>
        </w:rPr>
        <w:t>MWh</w:t>
      </w:r>
      <w:r w:rsidRPr="00DF5696">
        <w:rPr>
          <w:lang w:val="el-GR"/>
        </w:rPr>
        <w:t xml:space="preserve"> στα 50 €/</w:t>
      </w:r>
      <w:r w:rsidRPr="00DF5696">
        <w:rPr>
          <w:lang w:val="fr-FR"/>
        </w:rPr>
        <w:t>MWh</w:t>
      </w:r>
    </w:p>
    <w:p w:rsidR="00DF5696" w:rsidRPr="00DF569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Π1: μια προσφορά πώλησης 20 </w:t>
      </w:r>
      <w:r w:rsidRPr="00DF5696">
        <w:t>MWh</w:t>
      </w:r>
      <w:r w:rsidRPr="00DF5696">
        <w:rPr>
          <w:lang w:val="el-GR"/>
        </w:rPr>
        <w:t xml:space="preserve"> στα 20 €/</w:t>
      </w:r>
      <w:r w:rsidRPr="00DF5696">
        <w:t>MWh</w:t>
      </w:r>
    </w:p>
    <w:p w:rsidR="00DF5696" w:rsidRPr="00DF569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Π2: μια προσφορά πώλησης 50 </w:t>
      </w:r>
      <w:r w:rsidRPr="00DF5696">
        <w:t>MWh</w:t>
      </w:r>
      <w:r w:rsidRPr="00DF5696">
        <w:rPr>
          <w:lang w:val="el-GR"/>
        </w:rPr>
        <w:t xml:space="preserve"> στα 60 €/</w:t>
      </w:r>
      <w:r w:rsidRPr="00DF5696">
        <w:t>MWh</w:t>
      </w:r>
    </w:p>
    <w:p w:rsidR="00DF5696" w:rsidRPr="00DF569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Π3: μια προσφορά πώλησης 40 </w:t>
      </w:r>
      <w:r w:rsidRPr="00DF5696">
        <w:t>MWh</w:t>
      </w:r>
      <w:r w:rsidRPr="00DF5696">
        <w:rPr>
          <w:lang w:val="el-GR"/>
        </w:rPr>
        <w:t xml:space="preserve"> στα 85 €/</w:t>
      </w:r>
      <w:r w:rsidRPr="00DF5696">
        <w:t>MWh</w:t>
      </w:r>
    </w:p>
    <w:p w:rsidR="00DF5696" w:rsidRPr="00AB6606" w:rsidRDefault="00DF5696" w:rsidP="00DF5696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lang w:val="el-GR"/>
        </w:rPr>
      </w:pPr>
      <w:r w:rsidRPr="00DF5696">
        <w:rPr>
          <w:lang w:val="el-GR"/>
        </w:rPr>
        <w:t xml:space="preserve">Προσφορά Π4: μια προσφορά πώλησης 30 </w:t>
      </w:r>
      <w:r w:rsidRPr="00DF5696">
        <w:t>MWh</w:t>
      </w:r>
      <w:r w:rsidRPr="00DF5696">
        <w:rPr>
          <w:lang w:val="el-GR"/>
        </w:rPr>
        <w:t xml:space="preserve"> στα 125 €/</w:t>
      </w:r>
      <w:r w:rsidRPr="00DF5696">
        <w:t>MWh</w:t>
      </w:r>
    </w:p>
    <w:p w:rsidR="00AB6606" w:rsidRPr="00312BCD" w:rsidRDefault="00AB6606" w:rsidP="00AB6606">
      <w:pPr>
        <w:pStyle w:val="ListParagraph"/>
        <w:spacing w:after="160" w:line="256" w:lineRule="auto"/>
        <w:jc w:val="both"/>
        <w:rPr>
          <w:lang w:val="el-GR"/>
        </w:rPr>
      </w:pPr>
    </w:p>
    <w:p w:rsidR="00DF5696" w:rsidRDefault="00DF5696" w:rsidP="00AB6606">
      <w:pPr>
        <w:pStyle w:val="ListParagraph"/>
        <w:numPr>
          <w:ilvl w:val="0"/>
          <w:numId w:val="8"/>
        </w:numPr>
        <w:ind w:left="284" w:hanging="142"/>
        <w:jc w:val="both"/>
        <w:rPr>
          <w:lang w:val="el-GR"/>
        </w:rPr>
      </w:pPr>
      <w:r w:rsidRPr="00DF5696">
        <w:rPr>
          <w:lang w:val="el-GR"/>
        </w:rPr>
        <w:t>Ποια είναι η τιμή εκκαθάρισης της δημοπρασίας; Πόσο πληρώνει / πληρώνεται κάθε προσφορά</w:t>
      </w:r>
      <w:r w:rsidR="002D7C1A">
        <w:rPr>
          <w:lang w:val="el-GR"/>
        </w:rPr>
        <w:t>;</w:t>
      </w:r>
    </w:p>
    <w:p w:rsidR="00312BCD" w:rsidRPr="00AB6606" w:rsidRDefault="00911F72" w:rsidP="00AB6606">
      <w:pPr>
        <w:pStyle w:val="ListParagraph"/>
        <w:numPr>
          <w:ilvl w:val="0"/>
          <w:numId w:val="8"/>
        </w:numPr>
        <w:ind w:left="284" w:hanging="142"/>
        <w:jc w:val="both"/>
        <w:rPr>
          <w:lang w:val="el-GR"/>
        </w:rPr>
      </w:pPr>
      <w:r>
        <w:rPr>
          <w:lang w:val="el-GR"/>
        </w:rPr>
        <w:t xml:space="preserve">Πως θα άλλαζε η </w:t>
      </w:r>
      <w:r w:rsidR="00446DAD">
        <w:rPr>
          <w:lang w:val="el-GR"/>
        </w:rPr>
        <w:t xml:space="preserve">προηγούμενη </w:t>
      </w:r>
      <w:r>
        <w:rPr>
          <w:lang w:val="el-GR"/>
        </w:rPr>
        <w:t xml:space="preserve">απάντησή σας εάν </w:t>
      </w:r>
      <w:r w:rsidR="0083427D">
        <w:rPr>
          <w:lang w:val="el-GR"/>
        </w:rPr>
        <w:t xml:space="preserve">η Π2 </w:t>
      </w:r>
      <w:r w:rsidR="004E6776">
        <w:rPr>
          <w:lang w:val="el-GR"/>
        </w:rPr>
        <w:t xml:space="preserve">προσέφερε </w:t>
      </w:r>
      <w:r w:rsidR="004B2D07">
        <w:rPr>
          <w:lang w:val="el-GR"/>
        </w:rPr>
        <w:t>90</w:t>
      </w:r>
      <w:r w:rsidR="004E6776">
        <w:rPr>
          <w:lang w:val="el-GR"/>
        </w:rPr>
        <w:t xml:space="preserve"> </w:t>
      </w:r>
      <w:r w:rsidR="004E6776">
        <w:rPr>
          <w:lang w:val="en-GB"/>
        </w:rPr>
        <w:t>MWh</w:t>
      </w:r>
      <w:r w:rsidR="004E6776" w:rsidRPr="004E6776">
        <w:rPr>
          <w:lang w:val="el-GR"/>
        </w:rPr>
        <w:t xml:space="preserve"> </w:t>
      </w:r>
      <w:r w:rsidR="0083427D">
        <w:rPr>
          <w:lang w:val="el-GR"/>
        </w:rPr>
        <w:t>στ</w:t>
      </w:r>
      <w:r w:rsidR="004B2D07">
        <w:rPr>
          <w:lang w:val="el-GR"/>
        </w:rPr>
        <w:t>α</w:t>
      </w:r>
      <w:r w:rsidR="0083427D">
        <w:rPr>
          <w:lang w:val="el-GR"/>
        </w:rPr>
        <w:t xml:space="preserve"> 60 €</w:t>
      </w:r>
      <w:r w:rsidR="0083427D" w:rsidRPr="0083427D">
        <w:rPr>
          <w:lang w:val="el-GR"/>
        </w:rPr>
        <w:t>/</w:t>
      </w:r>
      <w:r w:rsidR="0083427D">
        <w:rPr>
          <w:lang w:val="en-GB"/>
        </w:rPr>
        <w:t>MWh</w:t>
      </w:r>
      <w:r w:rsidR="0083427D">
        <w:rPr>
          <w:lang w:val="el-GR"/>
        </w:rPr>
        <w:t>;</w:t>
      </w:r>
    </w:p>
    <w:p w:rsidR="00312BCD" w:rsidRPr="00312BCD" w:rsidRDefault="00312BCD" w:rsidP="00312BCD">
      <w:pPr>
        <w:jc w:val="both"/>
        <w:rPr>
          <w:lang w:val="el-GR"/>
        </w:rPr>
      </w:pPr>
      <w:r>
        <w:rPr>
          <w:lang w:val="el-GR"/>
        </w:rPr>
        <w:t>Απάντηση:</w:t>
      </w:r>
    </w:p>
    <w:p w:rsidR="00DF5696" w:rsidRPr="00DF5696" w:rsidRDefault="00DF5696" w:rsidP="00DF5696">
      <w:pPr>
        <w:jc w:val="both"/>
        <w:rPr>
          <w:lang w:val="el-GR"/>
        </w:rPr>
      </w:pPr>
    </w:p>
    <w:p w:rsidR="00DF5696" w:rsidRDefault="00DF5696">
      <w:pPr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F05160" w:rsidRDefault="00F05160" w:rsidP="00F05160">
      <w:pPr>
        <w:jc w:val="center"/>
        <w:rPr>
          <w:lang w:val="el-GR"/>
        </w:rPr>
      </w:pPr>
    </w:p>
    <w:p w:rsidR="009C592D" w:rsidRDefault="009C592D" w:rsidP="009C592D">
      <w:pPr>
        <w:spacing w:after="160" w:line="259" w:lineRule="auto"/>
        <w:rPr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6B7F8D" w:rsidRDefault="006B7F8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9C592D" w:rsidRDefault="009C592D" w:rsidP="009C592D">
      <w:pPr>
        <w:spacing w:after="160" w:line="259" w:lineRule="auto"/>
        <w:rPr>
          <w:b/>
          <w:lang w:val="el-GR"/>
        </w:rPr>
      </w:pPr>
    </w:p>
    <w:p w:rsidR="00AB6606" w:rsidRDefault="00AB6606" w:rsidP="009C592D">
      <w:pPr>
        <w:spacing w:after="160" w:line="259" w:lineRule="auto"/>
        <w:rPr>
          <w:b/>
          <w:lang w:val="el-GR"/>
        </w:rPr>
      </w:pPr>
    </w:p>
    <w:p w:rsidR="009360DF" w:rsidRDefault="009360DF" w:rsidP="009C592D">
      <w:pPr>
        <w:spacing w:after="160" w:line="259" w:lineRule="auto"/>
        <w:rPr>
          <w:b/>
          <w:lang w:val="el-GR"/>
        </w:rPr>
      </w:pPr>
    </w:p>
    <w:p w:rsidR="00F05160" w:rsidRDefault="000F579E" w:rsidP="009C592D">
      <w:pPr>
        <w:spacing w:after="160" w:line="259" w:lineRule="auto"/>
        <w:rPr>
          <w:lang w:val="el-GR"/>
        </w:rPr>
      </w:pPr>
      <w:r>
        <w:rPr>
          <w:b/>
          <w:lang w:val="el-GR"/>
        </w:rPr>
        <w:lastRenderedPageBreak/>
        <w:br/>
      </w:r>
      <w:r w:rsidR="00F05160" w:rsidRPr="00F05160">
        <w:rPr>
          <w:b/>
          <w:lang w:val="el-GR"/>
        </w:rPr>
        <w:t xml:space="preserve">4. </w:t>
      </w:r>
      <w:r w:rsidR="00B16C5D">
        <w:rPr>
          <w:b/>
          <w:lang w:val="el-GR"/>
        </w:rPr>
        <w:t>Οικονομική μοντελοποίηση</w:t>
      </w:r>
      <w:r w:rsidR="002463CC">
        <w:rPr>
          <w:b/>
          <w:lang w:val="el-GR"/>
        </w:rPr>
        <w:t xml:space="preserve"> (20 </w:t>
      </w:r>
      <w:r w:rsidR="00D67739">
        <w:rPr>
          <w:b/>
          <w:lang w:val="el-GR"/>
        </w:rPr>
        <w:t>βαθμοί</w:t>
      </w:r>
      <w:r w:rsidR="002463CC">
        <w:rPr>
          <w:b/>
          <w:lang w:val="el-GR"/>
        </w:rPr>
        <w:t>)</w:t>
      </w:r>
    </w:p>
    <w:p w:rsidR="00B16C5D" w:rsidRPr="00B16C5D" w:rsidRDefault="00B16C5D" w:rsidP="00B16C5D">
      <w:pPr>
        <w:spacing w:after="160" w:line="259" w:lineRule="auto"/>
        <w:rPr>
          <w:rFonts w:eastAsiaTheme="minorEastAsia"/>
          <w:sz w:val="22"/>
          <w:szCs w:val="22"/>
          <w:lang w:val="el-GR"/>
        </w:rPr>
      </w:pPr>
      <w:r w:rsidRPr="00B16C5D">
        <w:rPr>
          <w:rFonts w:eastAsiaTheme="minorEastAsia"/>
          <w:sz w:val="22"/>
          <w:szCs w:val="22"/>
          <w:lang w:val="el-GR"/>
        </w:rPr>
        <w:t xml:space="preserve">Μία οικονομετρική μελέτη εξετάζει </w:t>
      </w:r>
      <w:r w:rsidR="00704AE4">
        <w:rPr>
          <w:rFonts w:eastAsiaTheme="minorEastAsia"/>
          <w:sz w:val="22"/>
          <w:szCs w:val="22"/>
          <w:lang w:val="el-GR"/>
        </w:rPr>
        <w:t xml:space="preserve">το </w:t>
      </w:r>
      <w:r w:rsidRPr="00B16C5D">
        <w:rPr>
          <w:rFonts w:eastAsiaTheme="minorEastAsia"/>
          <w:sz w:val="22"/>
          <w:szCs w:val="22"/>
          <w:lang w:val="el-GR"/>
        </w:rPr>
        <w:t>π</w:t>
      </w:r>
      <w:r w:rsidR="00B75790">
        <w:rPr>
          <w:rFonts w:eastAsiaTheme="minorEastAsia"/>
          <w:sz w:val="22"/>
          <w:szCs w:val="22"/>
          <w:lang w:val="el-GR"/>
        </w:rPr>
        <w:t>ώ</w:t>
      </w:r>
      <w:r w:rsidRPr="00B16C5D">
        <w:rPr>
          <w:rFonts w:eastAsiaTheme="minorEastAsia"/>
          <w:sz w:val="22"/>
          <w:szCs w:val="22"/>
          <w:lang w:val="el-GR"/>
        </w:rPr>
        <w:t xml:space="preserve">ς </w:t>
      </w:r>
      <w:r w:rsidR="00704AE4">
        <w:rPr>
          <w:rFonts w:eastAsiaTheme="minorEastAsia"/>
          <w:sz w:val="22"/>
          <w:szCs w:val="22"/>
          <w:lang w:val="el-GR"/>
        </w:rPr>
        <w:t>εξαρτάται</w:t>
      </w:r>
      <w:r w:rsidRPr="00B16C5D">
        <w:rPr>
          <w:rFonts w:eastAsiaTheme="minorEastAsia"/>
          <w:sz w:val="22"/>
          <w:szCs w:val="22"/>
          <w:lang w:val="el-GR"/>
        </w:rPr>
        <w:t xml:space="preserve"> η </w:t>
      </w:r>
      <w:r w:rsidR="002606DB">
        <w:rPr>
          <w:rFonts w:eastAsiaTheme="minorEastAsia"/>
          <w:sz w:val="22"/>
          <w:szCs w:val="22"/>
          <w:lang w:val="el-GR"/>
        </w:rPr>
        <w:t xml:space="preserve">ετήσια </w:t>
      </w:r>
      <w:r w:rsidRPr="00B16C5D">
        <w:rPr>
          <w:rFonts w:eastAsiaTheme="minorEastAsia"/>
          <w:sz w:val="22"/>
          <w:szCs w:val="22"/>
          <w:lang w:val="el-GR"/>
        </w:rPr>
        <w:t>ζήτηση ηλεκτρισμού των ελληνικών νοικοκυριών (</w:t>
      </w:r>
      <w:proofErr w:type="spellStart"/>
      <w:r w:rsidRPr="00B16C5D">
        <w:rPr>
          <w:rFonts w:eastAsiaTheme="minorEastAsia"/>
          <w:sz w:val="22"/>
          <w:szCs w:val="22"/>
          <w:lang w:val="en-GB"/>
        </w:rPr>
        <w:t>Qe</w:t>
      </w:r>
      <w:proofErr w:type="spellEnd"/>
      <w:r w:rsidRPr="00B16C5D">
        <w:rPr>
          <w:rFonts w:eastAsiaTheme="minorEastAsia"/>
          <w:sz w:val="22"/>
          <w:szCs w:val="22"/>
          <w:lang w:val="el-GR"/>
        </w:rPr>
        <w:t xml:space="preserve">) </w:t>
      </w:r>
      <w:r w:rsidR="00704AE4">
        <w:rPr>
          <w:rFonts w:eastAsiaTheme="minorEastAsia"/>
          <w:sz w:val="22"/>
          <w:szCs w:val="22"/>
          <w:lang w:val="el-GR"/>
        </w:rPr>
        <w:t>από</w:t>
      </w:r>
      <w:r w:rsidRPr="00B16C5D">
        <w:rPr>
          <w:rFonts w:eastAsiaTheme="minorEastAsia"/>
          <w:sz w:val="22"/>
          <w:szCs w:val="22"/>
          <w:lang w:val="el-GR"/>
        </w:rPr>
        <w:t xml:space="preserve"> διάφορα μεγέθη όπως το εισόδημα (</w:t>
      </w:r>
      <w:r w:rsidRPr="00B16C5D">
        <w:rPr>
          <w:rFonts w:eastAsiaTheme="minorEastAsia"/>
          <w:sz w:val="22"/>
          <w:szCs w:val="22"/>
          <w:lang w:val="en-GB"/>
        </w:rPr>
        <w:t>Y</w:t>
      </w:r>
      <w:r w:rsidRPr="00B16C5D">
        <w:rPr>
          <w:rFonts w:eastAsiaTheme="minorEastAsia"/>
          <w:sz w:val="22"/>
          <w:szCs w:val="22"/>
          <w:lang w:val="el-GR"/>
        </w:rPr>
        <w:t>), την τιμή του ηλεκτρισμού (</w:t>
      </w:r>
      <w:r w:rsidRPr="00B16C5D">
        <w:rPr>
          <w:rFonts w:eastAsiaTheme="minorEastAsia"/>
          <w:sz w:val="22"/>
          <w:szCs w:val="22"/>
          <w:lang w:val="en-GB"/>
        </w:rPr>
        <w:t>Pe</w:t>
      </w:r>
      <w:r w:rsidRPr="00B16C5D">
        <w:rPr>
          <w:rFonts w:eastAsiaTheme="minorEastAsia"/>
          <w:sz w:val="22"/>
          <w:szCs w:val="22"/>
          <w:lang w:val="el-GR"/>
        </w:rPr>
        <w:t>)</w:t>
      </w:r>
      <w:r w:rsidR="00B070E7">
        <w:rPr>
          <w:rFonts w:eastAsiaTheme="minorEastAsia"/>
          <w:sz w:val="22"/>
          <w:szCs w:val="22"/>
          <w:lang w:val="el-GR"/>
        </w:rPr>
        <w:t xml:space="preserve"> και</w:t>
      </w:r>
      <w:r w:rsidRPr="00B16C5D">
        <w:rPr>
          <w:rFonts w:eastAsiaTheme="minorEastAsia"/>
          <w:sz w:val="22"/>
          <w:szCs w:val="22"/>
          <w:lang w:val="el-GR"/>
        </w:rPr>
        <w:t xml:space="preserve"> την τιμή του πετρελαίου (</w:t>
      </w:r>
      <w:r w:rsidRPr="00B16C5D">
        <w:rPr>
          <w:rFonts w:eastAsiaTheme="minorEastAsia"/>
          <w:sz w:val="22"/>
          <w:szCs w:val="22"/>
          <w:lang w:val="en-GB"/>
        </w:rPr>
        <w:t>Po</w:t>
      </w:r>
      <w:r w:rsidRPr="00B16C5D">
        <w:rPr>
          <w:rFonts w:eastAsiaTheme="minorEastAsia"/>
          <w:sz w:val="22"/>
          <w:szCs w:val="22"/>
          <w:lang w:val="el-GR"/>
        </w:rPr>
        <w:t xml:space="preserve">). Με τη χρήση </w:t>
      </w:r>
      <w:r w:rsidRPr="00B16C5D">
        <w:rPr>
          <w:rFonts w:eastAsiaTheme="minorEastAsia"/>
          <w:sz w:val="22"/>
          <w:szCs w:val="22"/>
          <w:lang w:val="en-GB"/>
        </w:rPr>
        <w:t>OLS</w:t>
      </w:r>
      <w:r w:rsidRPr="00B16C5D">
        <w:rPr>
          <w:rFonts w:eastAsiaTheme="minorEastAsia"/>
          <w:sz w:val="22"/>
          <w:szCs w:val="22"/>
          <w:lang w:val="el-GR"/>
        </w:rPr>
        <w:t xml:space="preserve"> παλινδρόμησης</w:t>
      </w:r>
      <w:r w:rsidR="00AB6606">
        <w:rPr>
          <w:rFonts w:eastAsiaTheme="minorEastAsia"/>
          <w:sz w:val="22"/>
          <w:szCs w:val="22"/>
          <w:lang w:val="el-GR"/>
        </w:rPr>
        <w:t xml:space="preserve">  </w:t>
      </w:r>
      <w:r w:rsidRPr="00B16C5D">
        <w:rPr>
          <w:rFonts w:eastAsiaTheme="minorEastAsia"/>
          <w:sz w:val="22"/>
          <w:szCs w:val="22"/>
          <w:lang w:val="el-GR"/>
        </w:rPr>
        <w:t>η μελέτη βρίσκει την παρακάτω σχέση</w:t>
      </w:r>
      <w:r w:rsidR="00AB6606">
        <w:rPr>
          <w:rFonts w:eastAsiaTheme="minorEastAsia"/>
          <w:sz w:val="22"/>
          <w:szCs w:val="22"/>
          <w:lang w:val="el-GR"/>
        </w:rPr>
        <w:t>: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6"/>
        <w:gridCol w:w="823"/>
        <w:gridCol w:w="896"/>
        <w:gridCol w:w="883"/>
        <w:gridCol w:w="935"/>
        <w:gridCol w:w="890"/>
        <w:gridCol w:w="959"/>
      </w:tblGrid>
      <w:tr w:rsidR="00B070E7" w:rsidRPr="00B16C5D" w:rsidTr="006E690B">
        <w:trPr>
          <w:jc w:val="center"/>
        </w:trPr>
        <w:tc>
          <w:tcPr>
            <w:tcW w:w="1271" w:type="dxa"/>
          </w:tcPr>
          <w:p w:rsidR="00B070E7" w:rsidRPr="00B16C5D" w:rsidRDefault="000700E6" w:rsidP="00B16C5D">
            <w:pPr>
              <w:rPr>
                <w:rFonts w:eastAsiaTheme="minorEastAsia"/>
                <w:sz w:val="22"/>
                <w:szCs w:val="22"/>
                <w:lang w:val="el-GR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GB"/>
                          </w:rPr>
                          <m:t>e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  <w:sz w:val="22"/>
                    <w:szCs w:val="22"/>
                    <w:lang w:val="el-GR"/>
                  </w:rPr>
                  <m:t>=</m:t>
                </m:r>
              </m:oMath>
            </m:oMathPara>
          </w:p>
        </w:tc>
        <w:tc>
          <w:tcPr>
            <w:tcW w:w="856" w:type="dxa"/>
          </w:tcPr>
          <w:p w:rsidR="00B070E7" w:rsidRPr="00B16C5D" w:rsidRDefault="000E653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  <w:r>
              <w:rPr>
                <w:rFonts w:eastAsiaTheme="minorEastAsia"/>
                <w:sz w:val="22"/>
                <w:szCs w:val="22"/>
                <w:lang w:val="en-GB"/>
              </w:rPr>
              <w:t>0.43</w:t>
            </w:r>
          </w:p>
        </w:tc>
        <w:tc>
          <w:tcPr>
            <w:tcW w:w="823" w:type="dxa"/>
          </w:tcPr>
          <w:p w:rsidR="00B070E7" w:rsidRPr="00B16C5D" w:rsidRDefault="00B070E7" w:rsidP="00B16C5D">
            <w:pPr>
              <w:jc w:val="right"/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+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el-GR"/>
                </w:rPr>
                <m:t>0.2</m:t>
              </m:r>
            </m:oMath>
          </w:p>
        </w:tc>
        <w:tc>
          <w:tcPr>
            <w:tcW w:w="896" w:type="dxa"/>
          </w:tcPr>
          <w:p w:rsidR="00B070E7" w:rsidRPr="00301943" w:rsidRDefault="000700E6" w:rsidP="00B16C5D">
            <w:pPr>
              <w:rPr>
                <w:rFonts w:eastAsiaTheme="minorEastAsia"/>
                <w:i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l-G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l-GR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l-GR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/>
                    <w:sz w:val="22"/>
                    <w:szCs w:val="22"/>
                    <w:lang w:val="el-GR"/>
                  </w:rPr>
                  <m:t xml:space="preserve"> </m:t>
                </m:r>
              </m:oMath>
            </m:oMathPara>
          </w:p>
        </w:tc>
        <w:tc>
          <w:tcPr>
            <w:tcW w:w="883" w:type="dxa"/>
          </w:tcPr>
          <w:p w:rsidR="00B070E7" w:rsidRPr="00B16C5D" w:rsidRDefault="00B070E7" w:rsidP="00B16C5D">
            <w:pPr>
              <w:jc w:val="right"/>
              <w:rPr>
                <w:rFonts w:eastAsiaTheme="minorEastAsia"/>
                <w:sz w:val="22"/>
                <w:szCs w:val="22"/>
                <w:lang w:val="el-GR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-</w:t>
            </w:r>
            <w:r w:rsidRPr="00B16C5D">
              <w:rPr>
                <w:rFonts w:eastAsiaTheme="minorEastAsia"/>
                <w:sz w:val="22"/>
                <w:szCs w:val="22"/>
                <w:lang w:val="el-GR"/>
              </w:rPr>
              <w:t xml:space="preserve"> </w:t>
            </w:r>
            <w:r w:rsidRPr="00B16C5D">
              <w:rPr>
                <w:rFonts w:eastAsiaTheme="minorEastAsia"/>
                <w:sz w:val="22"/>
                <w:szCs w:val="22"/>
                <w:lang w:val="en-GB"/>
              </w:rPr>
              <w:t>0.</w:t>
            </w:r>
            <w:r w:rsidR="00764D99">
              <w:rPr>
                <w:rFonts w:eastAsiaTheme="minorEastAsia"/>
                <w:sz w:val="22"/>
                <w:szCs w:val="22"/>
                <w:lang w:val="el-GR"/>
              </w:rPr>
              <w:t>4</w:t>
            </w:r>
          </w:p>
        </w:tc>
        <w:tc>
          <w:tcPr>
            <w:tcW w:w="935" w:type="dxa"/>
          </w:tcPr>
          <w:p w:rsidR="00B070E7" w:rsidRPr="00B16C5D" w:rsidRDefault="000700E6" w:rsidP="00B16C5D">
            <w:pPr>
              <w:rPr>
                <w:rFonts w:eastAsiaTheme="minorEastAsia"/>
                <w:i/>
                <w:sz w:val="22"/>
                <w:szCs w:val="22"/>
                <w:lang w:val="el-GR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l-G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l-GR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l-G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l-GR"/>
                          </w:rPr>
                          <m:t>e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890" w:type="dxa"/>
          </w:tcPr>
          <w:p w:rsidR="00B070E7" w:rsidRPr="00686E18" w:rsidRDefault="00B070E7" w:rsidP="00B16C5D">
            <w:pPr>
              <w:jc w:val="right"/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+</w:t>
            </w:r>
            <w:r w:rsidRPr="00B16C5D">
              <w:rPr>
                <w:rFonts w:eastAsiaTheme="minorEastAsia"/>
                <w:sz w:val="22"/>
                <w:szCs w:val="22"/>
                <w:lang w:val="el-GR"/>
              </w:rPr>
              <w:t xml:space="preserve"> </w:t>
            </w:r>
            <w:r w:rsidR="00686E18">
              <w:rPr>
                <w:rFonts w:eastAsiaTheme="minorEastAsia"/>
                <w:sz w:val="22"/>
                <w:szCs w:val="22"/>
                <w:lang w:val="el-GR"/>
              </w:rPr>
              <w:t>1.2</w:t>
            </w:r>
          </w:p>
        </w:tc>
        <w:tc>
          <w:tcPr>
            <w:tcW w:w="959" w:type="dxa"/>
          </w:tcPr>
          <w:p w:rsidR="00B070E7" w:rsidRPr="00B16C5D" w:rsidRDefault="000700E6" w:rsidP="00B16C5D">
            <w:pPr>
              <w:rPr>
                <w:rFonts w:eastAsiaTheme="minorEastAsia"/>
                <w:sz w:val="22"/>
                <w:szCs w:val="22"/>
                <w:lang w:val="el-GR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l-G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l-GR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l-G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l-GR"/>
                          </w:rPr>
                          <m:t>o</m:t>
                        </m:r>
                      </m:sub>
                    </m:sSub>
                  </m:e>
                </m:func>
              </m:oMath>
            </m:oMathPara>
          </w:p>
        </w:tc>
      </w:tr>
      <w:tr w:rsidR="00B070E7" w:rsidRPr="00B16C5D" w:rsidTr="006E690B">
        <w:trPr>
          <w:jc w:val="center"/>
        </w:trPr>
        <w:tc>
          <w:tcPr>
            <w:tcW w:w="1271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l-GR"/>
              </w:rPr>
            </w:pPr>
          </w:p>
        </w:tc>
        <w:tc>
          <w:tcPr>
            <w:tcW w:w="856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(-2.1)</w:t>
            </w:r>
          </w:p>
        </w:tc>
        <w:tc>
          <w:tcPr>
            <w:tcW w:w="823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l-GR"/>
              </w:rPr>
            </w:pPr>
          </w:p>
        </w:tc>
        <w:tc>
          <w:tcPr>
            <w:tcW w:w="896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(2</w:t>
            </w:r>
            <w:r w:rsidR="008770A7">
              <w:rPr>
                <w:rFonts w:eastAsiaTheme="minorEastAsia"/>
                <w:sz w:val="22"/>
                <w:szCs w:val="22"/>
                <w:lang w:val="el-GR"/>
              </w:rPr>
              <w:t>.</w:t>
            </w:r>
            <w:r w:rsidRPr="00B16C5D">
              <w:rPr>
                <w:rFonts w:eastAsiaTheme="minorEastAsia"/>
                <w:sz w:val="22"/>
                <w:szCs w:val="22"/>
                <w:lang w:val="en-GB"/>
              </w:rPr>
              <w:t>4)</w:t>
            </w:r>
          </w:p>
        </w:tc>
        <w:tc>
          <w:tcPr>
            <w:tcW w:w="883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</w:p>
        </w:tc>
        <w:tc>
          <w:tcPr>
            <w:tcW w:w="935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(-3.1)</w:t>
            </w:r>
          </w:p>
        </w:tc>
        <w:tc>
          <w:tcPr>
            <w:tcW w:w="890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l-GR"/>
              </w:rPr>
            </w:pPr>
          </w:p>
        </w:tc>
        <w:tc>
          <w:tcPr>
            <w:tcW w:w="959" w:type="dxa"/>
          </w:tcPr>
          <w:p w:rsidR="00B070E7" w:rsidRPr="00B16C5D" w:rsidRDefault="00B070E7" w:rsidP="00B16C5D">
            <w:pPr>
              <w:rPr>
                <w:rFonts w:eastAsiaTheme="minorEastAsia"/>
                <w:sz w:val="22"/>
                <w:szCs w:val="22"/>
                <w:lang w:val="en-GB"/>
              </w:rPr>
            </w:pPr>
            <w:r w:rsidRPr="00B16C5D">
              <w:rPr>
                <w:rFonts w:eastAsiaTheme="minorEastAsia"/>
                <w:sz w:val="22"/>
                <w:szCs w:val="22"/>
                <w:lang w:val="en-GB"/>
              </w:rPr>
              <w:t>(1.9</w:t>
            </w:r>
            <w:r w:rsidR="00DF5696">
              <w:rPr>
                <w:rFonts w:eastAsiaTheme="minorEastAsia"/>
                <w:sz w:val="22"/>
                <w:szCs w:val="22"/>
                <w:lang w:val="el-GR"/>
              </w:rPr>
              <w:t>2</w:t>
            </w:r>
            <w:r w:rsidRPr="00B16C5D">
              <w:rPr>
                <w:rFonts w:eastAsiaTheme="minorEastAsia"/>
                <w:sz w:val="22"/>
                <w:szCs w:val="22"/>
                <w:lang w:val="en-GB"/>
              </w:rPr>
              <w:t>)</w:t>
            </w:r>
          </w:p>
        </w:tc>
      </w:tr>
    </w:tbl>
    <w:p w:rsidR="00126EB0" w:rsidRPr="00B16C5D" w:rsidRDefault="00B16C5D" w:rsidP="00B16C5D">
      <w:pPr>
        <w:spacing w:after="160" w:line="259" w:lineRule="auto"/>
        <w:rPr>
          <w:rFonts w:eastAsiaTheme="minorEastAsia"/>
          <w:sz w:val="22"/>
          <w:szCs w:val="22"/>
          <w:lang w:val="el-GR"/>
        </w:rPr>
      </w:pPr>
      <w:r w:rsidRPr="00B16C5D">
        <w:rPr>
          <w:rFonts w:eastAsiaTheme="minorEastAsia"/>
          <w:sz w:val="22"/>
          <w:szCs w:val="22"/>
          <w:lang w:val="el-GR"/>
        </w:rPr>
        <w:t xml:space="preserve">Σε παρένθεση οι συντελεστές που αντιστοιχούν στο </w:t>
      </w:r>
      <w:r w:rsidRPr="00B16C5D">
        <w:rPr>
          <w:rFonts w:eastAsiaTheme="minorEastAsia"/>
          <w:sz w:val="22"/>
          <w:szCs w:val="22"/>
          <w:lang w:val="en-GB"/>
        </w:rPr>
        <w:t>t</w:t>
      </w:r>
      <w:r w:rsidRPr="00B16C5D">
        <w:rPr>
          <w:rFonts w:eastAsiaTheme="minorEastAsia"/>
          <w:sz w:val="22"/>
          <w:szCs w:val="22"/>
          <w:lang w:val="el-GR"/>
        </w:rPr>
        <w:t>-</w:t>
      </w:r>
      <w:r w:rsidRPr="00B16C5D">
        <w:rPr>
          <w:rFonts w:eastAsiaTheme="minorEastAsia"/>
          <w:sz w:val="22"/>
          <w:szCs w:val="22"/>
          <w:lang w:val="en-GB"/>
        </w:rPr>
        <w:t>test</w:t>
      </w:r>
      <w:r w:rsidRPr="00B16C5D">
        <w:rPr>
          <w:rFonts w:eastAsiaTheme="minorEastAsia"/>
          <w:sz w:val="22"/>
          <w:szCs w:val="22"/>
          <w:lang w:val="el-GR"/>
        </w:rPr>
        <w:t xml:space="preserve"> της παλινδρόμησης.</w:t>
      </w:r>
    </w:p>
    <w:p w:rsidR="00B16C5D" w:rsidRPr="00BE1C57" w:rsidRDefault="00B16C5D" w:rsidP="00BE1C57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eastAsiaTheme="minorEastAsia"/>
          <w:lang w:val="el-GR"/>
        </w:rPr>
      </w:pPr>
      <w:r>
        <w:rPr>
          <w:rFonts w:eastAsiaTheme="minorEastAsia"/>
          <w:lang w:val="en-GB"/>
        </w:rPr>
        <w:t>E</w:t>
      </w:r>
      <w:r w:rsidRPr="00B16C5D">
        <w:rPr>
          <w:rFonts w:eastAsiaTheme="minorEastAsia"/>
          <w:lang w:val="el-GR"/>
        </w:rPr>
        <w:t>ξηγήστε τι αντιπροσωπεύουν οι συντελεστές μπροστά από τις ανεξάρτητες μεταβλητές.</w:t>
      </w:r>
      <w:r w:rsidR="000A6013">
        <w:rPr>
          <w:rFonts w:eastAsiaTheme="minorEastAsia"/>
          <w:lang w:val="el-GR"/>
        </w:rPr>
        <w:t xml:space="preserve"> Είναι οι</w:t>
      </w:r>
      <w:r w:rsidR="000A6013" w:rsidRPr="008770A7">
        <w:rPr>
          <w:rFonts w:eastAsiaTheme="minorEastAsia"/>
          <w:lang w:val="el-GR"/>
        </w:rPr>
        <w:t xml:space="preserve"> </w:t>
      </w:r>
      <w:r w:rsidR="000A6013">
        <w:rPr>
          <w:rFonts w:eastAsiaTheme="minorEastAsia"/>
          <w:lang w:val="el-GR"/>
        </w:rPr>
        <w:t>εκτιμήσεις στατιστικά σημαντικές</w:t>
      </w:r>
      <w:r w:rsidR="00764D99">
        <w:rPr>
          <w:rFonts w:eastAsiaTheme="minorEastAsia"/>
          <w:lang w:val="el-GR"/>
        </w:rPr>
        <w:t xml:space="preserve"> </w:t>
      </w:r>
      <w:r w:rsidR="0066202E">
        <w:rPr>
          <w:rFonts w:eastAsiaTheme="minorEastAsia"/>
          <w:lang w:val="el-GR"/>
        </w:rPr>
        <w:t xml:space="preserve">σε επίπεδο 95% </w:t>
      </w:r>
      <w:r w:rsidR="00A10FBD">
        <w:rPr>
          <w:rFonts w:eastAsiaTheme="minorEastAsia"/>
          <w:lang w:val="el-GR"/>
        </w:rPr>
        <w:t xml:space="preserve">και </w:t>
      </w:r>
      <w:r w:rsidR="00764D99">
        <w:rPr>
          <w:rFonts w:eastAsiaTheme="minorEastAsia"/>
          <w:lang w:val="el-GR"/>
        </w:rPr>
        <w:t>π</w:t>
      </w:r>
      <w:r w:rsidR="00B75790">
        <w:rPr>
          <w:rFonts w:eastAsiaTheme="minorEastAsia"/>
          <w:lang w:val="el-GR"/>
        </w:rPr>
        <w:t>ώ</w:t>
      </w:r>
      <w:r w:rsidR="00764D99">
        <w:rPr>
          <w:rFonts w:eastAsiaTheme="minorEastAsia"/>
          <w:lang w:val="el-GR"/>
        </w:rPr>
        <w:t xml:space="preserve">ς το καταλαβαίνουμε </w:t>
      </w:r>
      <w:r w:rsidR="00223CF1">
        <w:rPr>
          <w:rFonts w:eastAsiaTheme="minorEastAsia"/>
          <w:lang w:val="el-GR"/>
        </w:rPr>
        <w:t>εύ</w:t>
      </w:r>
      <w:r w:rsidR="00301943">
        <w:rPr>
          <w:rFonts w:eastAsiaTheme="minorEastAsia"/>
          <w:lang w:val="el-GR"/>
        </w:rPr>
        <w:t xml:space="preserve">κολα </w:t>
      </w:r>
      <w:r w:rsidR="00764D99">
        <w:rPr>
          <w:rFonts w:eastAsiaTheme="minorEastAsia"/>
          <w:lang w:val="el-GR"/>
        </w:rPr>
        <w:t>αυτό</w:t>
      </w:r>
      <w:r w:rsidR="000F579E">
        <w:rPr>
          <w:rFonts w:eastAsiaTheme="minorEastAsia"/>
          <w:lang w:val="el-GR"/>
        </w:rPr>
        <w:t xml:space="preserve"> (χωρίς πράξεις)</w:t>
      </w:r>
      <w:r w:rsidR="00764D99">
        <w:rPr>
          <w:rFonts w:eastAsiaTheme="minorEastAsia"/>
          <w:lang w:val="el-GR"/>
        </w:rPr>
        <w:t>;</w:t>
      </w:r>
    </w:p>
    <w:p w:rsidR="00AB6606" w:rsidRPr="00AB6606" w:rsidRDefault="002C0346" w:rsidP="00AB6606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lang w:val="el-GR"/>
        </w:rPr>
      </w:pPr>
      <w:r>
        <w:rPr>
          <w:rFonts w:eastAsiaTheme="minorEastAsia"/>
          <w:lang w:val="el-GR"/>
        </w:rPr>
        <w:t>Κατά πόσο (ποσοστιαία) περιμένετε να αλλάξει η ζήτηση ηλεκτρισμού εάν</w:t>
      </w:r>
      <w:r w:rsidR="00B16C5D" w:rsidRPr="00B16C5D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αυξηθεί η εκάστοτε ανεξάρτητη μεταβλητή κατά </w:t>
      </w:r>
      <w:r w:rsidR="00DF5696">
        <w:rPr>
          <w:rFonts w:eastAsiaTheme="minorEastAsia"/>
          <w:lang w:val="el-GR"/>
        </w:rPr>
        <w:t>2</w:t>
      </w:r>
      <w:r>
        <w:rPr>
          <w:rFonts w:eastAsiaTheme="minorEastAsia"/>
          <w:lang w:val="el-GR"/>
        </w:rPr>
        <w:t>0% (εξετάστε την επίδραση της κάθε μεταβλητής ξεχωριστά).</w:t>
      </w:r>
    </w:p>
    <w:p w:rsidR="00686E18" w:rsidRPr="00686E18" w:rsidRDefault="00686E18" w:rsidP="00686E18">
      <w:pPr>
        <w:spacing w:after="160" w:line="259" w:lineRule="auto"/>
        <w:rPr>
          <w:lang w:val="el-GR"/>
        </w:rPr>
      </w:pPr>
      <w:r>
        <w:rPr>
          <w:lang w:val="el-GR"/>
        </w:rPr>
        <w:t>Απάντηση:</w:t>
      </w:r>
    </w:p>
    <w:p w:rsidR="005721F5" w:rsidRPr="005721F5" w:rsidRDefault="005721F5" w:rsidP="005721F5">
      <w:pPr>
        <w:pStyle w:val="ListParagraph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301943" w:rsidRDefault="00301943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5721F5" w:rsidRDefault="005721F5" w:rsidP="005721F5">
      <w:pPr>
        <w:spacing w:after="160" w:line="259" w:lineRule="auto"/>
        <w:rPr>
          <w:lang w:val="el-GR"/>
        </w:rPr>
      </w:pPr>
    </w:p>
    <w:p w:rsidR="00AB6606" w:rsidRDefault="00AB6606" w:rsidP="005721F5">
      <w:pPr>
        <w:spacing w:after="160" w:line="259" w:lineRule="auto"/>
        <w:rPr>
          <w:lang w:val="el-GR"/>
        </w:rPr>
      </w:pPr>
    </w:p>
    <w:p w:rsidR="009360DF" w:rsidRDefault="009360DF" w:rsidP="0040044B">
      <w:pPr>
        <w:pStyle w:val="ListParagraph"/>
        <w:spacing w:after="160" w:line="259" w:lineRule="auto"/>
        <w:ind w:left="0"/>
        <w:rPr>
          <w:b/>
          <w:lang w:val="el-GR"/>
        </w:rPr>
      </w:pPr>
    </w:p>
    <w:p w:rsidR="006E2D39" w:rsidRDefault="0040044B" w:rsidP="0040044B">
      <w:pPr>
        <w:pStyle w:val="ListParagraph"/>
        <w:spacing w:after="160" w:line="259" w:lineRule="auto"/>
        <w:ind w:left="0"/>
        <w:rPr>
          <w:b/>
          <w:lang w:val="el-GR"/>
        </w:rPr>
      </w:pPr>
      <w:r w:rsidRPr="0040044B">
        <w:rPr>
          <w:b/>
          <w:lang w:val="el-GR"/>
        </w:rPr>
        <w:t xml:space="preserve">5. </w:t>
      </w:r>
      <w:r w:rsidR="008A38D3">
        <w:rPr>
          <w:b/>
          <w:lang w:val="el-GR"/>
        </w:rPr>
        <w:t>Γενική οικονομική θεωρία</w:t>
      </w:r>
      <w:r w:rsidR="00EF2025">
        <w:rPr>
          <w:b/>
          <w:lang w:val="el-GR"/>
        </w:rPr>
        <w:t xml:space="preserve"> (20 βαθμοί)</w:t>
      </w:r>
    </w:p>
    <w:p w:rsidR="008A38D3" w:rsidRDefault="008A38D3" w:rsidP="0040044B">
      <w:pPr>
        <w:pStyle w:val="ListParagraph"/>
        <w:spacing w:after="160" w:line="259" w:lineRule="auto"/>
        <w:ind w:left="0"/>
        <w:rPr>
          <w:b/>
          <w:lang w:val="el-GR"/>
        </w:rPr>
      </w:pPr>
    </w:p>
    <w:p w:rsidR="00EC57F0" w:rsidRDefault="00AB6606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 xml:space="preserve">Έχοντας στο μυαλό σας το υπόδειγμα βέλτιστης ενεργειακής πολιτικής από πλευράς Ευρωπαικής ένωσης έναντι της Ρωσίας (διάλεξη 5), εξηγείστε με τη χρήση οικονομική λογικής ή/και θεωρίας το λόγο </w:t>
      </w:r>
      <w:r w:rsidR="00507090">
        <w:rPr>
          <w:lang w:val="el-GR"/>
        </w:rPr>
        <w:t xml:space="preserve">που ένας δασμός </w:t>
      </w:r>
      <w:r w:rsidR="00BB3D1B">
        <w:rPr>
          <w:lang w:val="el-GR"/>
        </w:rPr>
        <w:t>στις εισαγωγές</w:t>
      </w:r>
      <w:r w:rsidR="00507090">
        <w:rPr>
          <w:lang w:val="el-GR"/>
        </w:rPr>
        <w:t xml:space="preserve"> Ρωσικού φυσικού αερίου</w:t>
      </w:r>
      <w:r w:rsidR="000F579E">
        <w:rPr>
          <w:lang w:val="el-GR"/>
        </w:rPr>
        <w:t xml:space="preserve"> </w:t>
      </w:r>
      <w:r w:rsidR="00507090">
        <w:rPr>
          <w:lang w:val="el-GR"/>
        </w:rPr>
        <w:t>μπορεί να αυξήσει την ευρωπαΪκή κοινωνική ευημερία, παρόλο που κάτι τέτοιο θα αυξήσει ακόμη περισσότερο την τιμή του ΦΑ.</w:t>
      </w:r>
      <w:r w:rsidR="00E25016">
        <w:rPr>
          <w:lang w:val="el-GR"/>
        </w:rPr>
        <w:t xml:space="preserve"> </w:t>
      </w:r>
    </w:p>
    <w:p w:rsidR="00E25016" w:rsidRDefault="00E25016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9A1C03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>Απάντηση:</w:t>
      </w:r>
    </w:p>
    <w:p w:rsidR="005F17CE" w:rsidRDefault="005F17CE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507090" w:rsidRDefault="0050709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507090" w:rsidRDefault="0050709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507090" w:rsidRDefault="0050709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EC57F0" w:rsidRDefault="00EC57F0" w:rsidP="0040044B">
      <w:pPr>
        <w:pStyle w:val="ListParagraph"/>
        <w:spacing w:after="160" w:line="259" w:lineRule="auto"/>
        <w:ind w:left="0"/>
        <w:rPr>
          <w:b/>
          <w:lang w:val="el-GR"/>
        </w:rPr>
      </w:pPr>
      <w:r w:rsidRPr="002D171F">
        <w:rPr>
          <w:b/>
          <w:lang w:val="el-GR"/>
        </w:rPr>
        <w:t xml:space="preserve">6. </w:t>
      </w:r>
      <w:r w:rsidR="002D171F" w:rsidRPr="002D171F">
        <w:rPr>
          <w:b/>
          <w:lang w:val="el-GR"/>
        </w:rPr>
        <w:t>Βιώσιμη ανάπτυξη (20 βαθμοί)</w:t>
      </w:r>
    </w:p>
    <w:p w:rsidR="00C24C21" w:rsidRDefault="00C24C21" w:rsidP="0040044B">
      <w:pPr>
        <w:pStyle w:val="ListParagraph"/>
        <w:spacing w:after="160" w:line="259" w:lineRule="auto"/>
        <w:ind w:left="0"/>
        <w:rPr>
          <w:b/>
          <w:lang w:val="el-GR"/>
        </w:rPr>
      </w:pPr>
    </w:p>
    <w:p w:rsidR="00D87DB1" w:rsidRDefault="00C24C21" w:rsidP="0040044B">
      <w:pPr>
        <w:pStyle w:val="ListParagraph"/>
        <w:spacing w:after="160" w:line="259" w:lineRule="auto"/>
        <w:ind w:left="0"/>
        <w:rPr>
          <w:lang w:val="el-GR"/>
        </w:rPr>
      </w:pPr>
      <w:r w:rsidRPr="00C24C21">
        <w:rPr>
          <w:lang w:val="el-GR"/>
        </w:rPr>
        <w:t>Όπως φαίνεται</w:t>
      </w:r>
      <w:r>
        <w:rPr>
          <w:lang w:val="el-GR"/>
        </w:rPr>
        <w:t xml:space="preserve"> και στο παρακάτω σχήμα, </w:t>
      </w:r>
      <w:r w:rsidR="00886C2D">
        <w:rPr>
          <w:lang w:val="el-GR"/>
        </w:rPr>
        <w:t>η αλληλοσυσχέτιση του</w:t>
      </w:r>
      <w:r>
        <w:rPr>
          <w:lang w:val="el-GR"/>
        </w:rPr>
        <w:t xml:space="preserve"> ρυθμ</w:t>
      </w:r>
      <w:r w:rsidR="00886C2D">
        <w:rPr>
          <w:lang w:val="el-GR"/>
        </w:rPr>
        <w:t>ού</w:t>
      </w:r>
      <w:r>
        <w:rPr>
          <w:lang w:val="el-GR"/>
        </w:rPr>
        <w:t xml:space="preserve"> </w:t>
      </w:r>
      <w:r w:rsidR="00A64DFF">
        <w:rPr>
          <w:lang w:val="el-GR"/>
        </w:rPr>
        <w:t>μεταβολής</w:t>
      </w:r>
      <w:r>
        <w:rPr>
          <w:lang w:val="el-GR"/>
        </w:rPr>
        <w:t xml:space="preserve"> του ΑΕΠ και των τιμών του πετρελαίου</w:t>
      </w:r>
      <w:r w:rsidR="00886C2D">
        <w:rPr>
          <w:lang w:val="el-GR"/>
        </w:rPr>
        <w:t xml:space="preserve"> </w:t>
      </w:r>
      <w:r w:rsidR="004E4613">
        <w:rPr>
          <w:lang w:val="el-GR"/>
        </w:rPr>
        <w:t>εί</w:t>
      </w:r>
      <w:r w:rsidR="00886C2D">
        <w:rPr>
          <w:lang w:val="el-GR"/>
        </w:rPr>
        <w:t xml:space="preserve">ναι πολύ υψηλή για κάποιες χώρες (π.χ. Βενεζουέλα) ενώ για κάποιες </w:t>
      </w:r>
      <w:r w:rsidR="00AF7F66">
        <w:rPr>
          <w:lang w:val="el-GR"/>
        </w:rPr>
        <w:t xml:space="preserve">άλλες </w:t>
      </w:r>
      <w:r w:rsidR="00886C2D">
        <w:rPr>
          <w:lang w:val="el-GR"/>
        </w:rPr>
        <w:t>πολύ χαμηλή (π.χ. Νορβηγία). Εξηγείστε</w:t>
      </w:r>
      <w:r w:rsidR="00D87DB1">
        <w:rPr>
          <w:lang w:val="el-GR"/>
        </w:rPr>
        <w:t>:</w:t>
      </w:r>
    </w:p>
    <w:p w:rsidR="00F93EF5" w:rsidRDefault="00F93EF5" w:rsidP="0040044B">
      <w:pPr>
        <w:pStyle w:val="ListParagraph"/>
        <w:spacing w:after="160" w:line="259" w:lineRule="auto"/>
        <w:ind w:left="0"/>
        <w:rPr>
          <w:lang w:val="el-GR"/>
        </w:rPr>
      </w:pPr>
    </w:p>
    <w:p w:rsidR="00B11F0D" w:rsidRDefault="00D87DB1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 xml:space="preserve">Ι.  </w:t>
      </w:r>
      <w:r w:rsidR="004E4613">
        <w:rPr>
          <w:lang w:val="el-GR"/>
        </w:rPr>
        <w:t>για ποι</w:t>
      </w:r>
      <w:r w:rsidR="00D75EB6">
        <w:rPr>
          <w:lang w:val="el-GR"/>
        </w:rPr>
        <w:t>ο</w:t>
      </w:r>
      <w:r w:rsidR="004E4613">
        <w:rPr>
          <w:lang w:val="el-GR"/>
        </w:rPr>
        <w:t xml:space="preserve"> λόγο μπορεί να</w:t>
      </w:r>
      <w:r>
        <w:rPr>
          <w:lang w:val="el-GR"/>
        </w:rPr>
        <w:t xml:space="preserve"> προκύπτει</w:t>
      </w:r>
      <w:r w:rsidR="004E4613">
        <w:rPr>
          <w:lang w:val="el-GR"/>
        </w:rPr>
        <w:t>...</w:t>
      </w:r>
    </w:p>
    <w:p w:rsidR="00D87DB1" w:rsidRDefault="00D87DB1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 xml:space="preserve">ΙΙ. </w:t>
      </w:r>
      <w:r w:rsidR="00886C2D">
        <w:rPr>
          <w:lang w:val="el-GR"/>
        </w:rPr>
        <w:t>τι επιπτώσεις μπορεί να έχει</w:t>
      </w:r>
      <w:r w:rsidR="004E4613">
        <w:rPr>
          <w:lang w:val="el-GR"/>
        </w:rPr>
        <w:t>...</w:t>
      </w:r>
      <w:r w:rsidR="00886C2D">
        <w:rPr>
          <w:lang w:val="el-GR"/>
        </w:rPr>
        <w:t xml:space="preserve"> </w:t>
      </w:r>
    </w:p>
    <w:p w:rsidR="00886C2D" w:rsidRDefault="004E4613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 xml:space="preserve">... </w:t>
      </w:r>
      <w:r w:rsidR="004A2938">
        <w:rPr>
          <w:lang w:val="el-GR"/>
        </w:rPr>
        <w:t xml:space="preserve">αυτή </w:t>
      </w:r>
      <w:r w:rsidR="00886C2D">
        <w:rPr>
          <w:lang w:val="el-GR"/>
        </w:rPr>
        <w:t>η παρατήρηση στην οικονομία τ</w:t>
      </w:r>
      <w:r w:rsidR="00AF7F66">
        <w:rPr>
          <w:lang w:val="el-GR"/>
        </w:rPr>
        <w:t>ης</w:t>
      </w:r>
      <w:r w:rsidR="00886C2D">
        <w:rPr>
          <w:lang w:val="el-GR"/>
        </w:rPr>
        <w:t xml:space="preserve"> εκάστοτε χ</w:t>
      </w:r>
      <w:r w:rsidR="00AF7F66">
        <w:rPr>
          <w:lang w:val="el-GR"/>
        </w:rPr>
        <w:t>ώ</w:t>
      </w:r>
      <w:r w:rsidR="00886C2D">
        <w:rPr>
          <w:lang w:val="el-GR"/>
        </w:rPr>
        <w:t>ρ</w:t>
      </w:r>
      <w:r w:rsidR="00AF7F66">
        <w:rPr>
          <w:lang w:val="el-GR"/>
        </w:rPr>
        <w:t>ας</w:t>
      </w:r>
      <w:r>
        <w:rPr>
          <w:lang w:val="el-GR"/>
        </w:rPr>
        <w:t>;</w:t>
      </w:r>
    </w:p>
    <w:p w:rsidR="00C24C21" w:rsidRPr="00C24C21" w:rsidRDefault="00C24C21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 xml:space="preserve"> </w:t>
      </w:r>
    </w:p>
    <w:p w:rsidR="00C24C21" w:rsidRDefault="00C24C21" w:rsidP="0040044B">
      <w:pPr>
        <w:pStyle w:val="ListParagraph"/>
        <w:spacing w:after="160" w:line="259" w:lineRule="auto"/>
        <w:ind w:left="0"/>
        <w:rPr>
          <w:b/>
          <w:lang w:val="el-GR"/>
        </w:rPr>
      </w:pPr>
      <w:r>
        <w:rPr>
          <w:noProof/>
        </w:rPr>
        <w:drawing>
          <wp:inline distT="0" distB="0" distL="0" distR="0" wp14:anchorId="1F9CF8F9" wp14:editId="640838DA">
            <wp:extent cx="2788848" cy="167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91" cy="1685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043727" wp14:editId="13C4AE35">
            <wp:extent cx="2800811" cy="1685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45" cy="169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C03" w:rsidRDefault="009A1C03" w:rsidP="0040044B">
      <w:pPr>
        <w:pStyle w:val="ListParagraph"/>
        <w:spacing w:after="160" w:line="259" w:lineRule="auto"/>
        <w:ind w:left="0"/>
        <w:rPr>
          <w:b/>
          <w:lang w:val="el-GR"/>
        </w:rPr>
      </w:pPr>
    </w:p>
    <w:p w:rsidR="009A1C03" w:rsidRPr="009A1C03" w:rsidRDefault="009A1C03" w:rsidP="0040044B">
      <w:pPr>
        <w:pStyle w:val="ListParagraph"/>
        <w:spacing w:after="160" w:line="259" w:lineRule="auto"/>
        <w:ind w:left="0"/>
        <w:rPr>
          <w:lang w:val="el-GR"/>
        </w:rPr>
      </w:pPr>
      <w:r>
        <w:rPr>
          <w:lang w:val="el-GR"/>
        </w:rPr>
        <w:t>Απάντηση:</w:t>
      </w:r>
    </w:p>
    <w:sectPr w:rsidR="009A1C03" w:rsidRPr="009A1C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E6" w:rsidRDefault="000700E6" w:rsidP="00BA365A">
      <w:r>
        <w:separator/>
      </w:r>
    </w:p>
  </w:endnote>
  <w:endnote w:type="continuationSeparator" w:id="0">
    <w:p w:rsidR="000700E6" w:rsidRDefault="000700E6" w:rsidP="00BA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537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5B8" w:rsidRDefault="00E825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25B8" w:rsidRDefault="00E8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E6" w:rsidRDefault="000700E6" w:rsidP="00BA365A">
      <w:r>
        <w:separator/>
      </w:r>
    </w:p>
  </w:footnote>
  <w:footnote w:type="continuationSeparator" w:id="0">
    <w:p w:rsidR="000700E6" w:rsidRDefault="000700E6" w:rsidP="00BA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B8" w:rsidRDefault="000F579E" w:rsidP="00DC0CF3">
    <w:pPr>
      <w:pStyle w:val="Header"/>
    </w:pPr>
    <w:r>
      <w:rPr>
        <w:lang w:val="en-GB"/>
      </w:rPr>
      <w:t>O</w:t>
    </w:r>
    <w:r w:rsidR="00DC0CF3">
      <w:rPr>
        <w:lang w:val="el-GR"/>
      </w:rPr>
      <w:t>νοματεπώνυμο:</w:t>
    </w:r>
    <w:r w:rsidR="00DC0CF3">
      <w:rPr>
        <w:lang w:val="el-GR"/>
      </w:rPr>
      <w:tab/>
    </w:r>
    <w:r w:rsidR="00DC0CF3">
      <w:rPr>
        <w:lang w:val="el-GR"/>
      </w:rPr>
      <w:tab/>
    </w:r>
    <w:r w:rsidR="00E825B8">
      <w:rPr>
        <w:rFonts w:cs="Helvetica"/>
        <w:b/>
        <w:bCs/>
        <w:noProof/>
      </w:rPr>
      <w:drawing>
        <wp:inline distT="0" distB="0" distL="0" distR="0" wp14:anchorId="2A33FCD0" wp14:editId="277678C0">
          <wp:extent cx="1835785" cy="422392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925" cy="44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57E"/>
    <w:multiLevelType w:val="hybridMultilevel"/>
    <w:tmpl w:val="EB8E3CE0"/>
    <w:lvl w:ilvl="0" w:tplc="D248BD04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897"/>
    <w:multiLevelType w:val="hybridMultilevel"/>
    <w:tmpl w:val="6916D3B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746171"/>
    <w:multiLevelType w:val="hybridMultilevel"/>
    <w:tmpl w:val="1DB863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6B09"/>
    <w:multiLevelType w:val="hybridMultilevel"/>
    <w:tmpl w:val="797613C8"/>
    <w:lvl w:ilvl="0" w:tplc="2EB06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239"/>
    <w:multiLevelType w:val="hybridMultilevel"/>
    <w:tmpl w:val="418E6E9E"/>
    <w:lvl w:ilvl="0" w:tplc="5C0E0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068D"/>
    <w:multiLevelType w:val="hybridMultilevel"/>
    <w:tmpl w:val="3DBA97DE"/>
    <w:lvl w:ilvl="0" w:tplc="A9FCDD8E">
      <w:start w:val="1"/>
      <w:numFmt w:val="lowerLetter"/>
      <w:lvlText w:val="%1)"/>
      <w:lvlJc w:val="left"/>
      <w:pPr>
        <w:ind w:left="720" w:hanging="360"/>
      </w:pPr>
      <w:rPr>
        <w:rFonts w:hint="default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1C5"/>
    <w:multiLevelType w:val="hybridMultilevel"/>
    <w:tmpl w:val="EC22977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2D73"/>
    <w:multiLevelType w:val="hybridMultilevel"/>
    <w:tmpl w:val="C45EE6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9B"/>
    <w:rsid w:val="00006636"/>
    <w:rsid w:val="0006316F"/>
    <w:rsid w:val="0006474B"/>
    <w:rsid w:val="000700E6"/>
    <w:rsid w:val="0008402B"/>
    <w:rsid w:val="000A6013"/>
    <w:rsid w:val="000B4032"/>
    <w:rsid w:val="000E37F5"/>
    <w:rsid w:val="000E6537"/>
    <w:rsid w:val="000F579E"/>
    <w:rsid w:val="00124179"/>
    <w:rsid w:val="00126EB0"/>
    <w:rsid w:val="001535E4"/>
    <w:rsid w:val="001F1512"/>
    <w:rsid w:val="00223CF1"/>
    <w:rsid w:val="00225485"/>
    <w:rsid w:val="00230733"/>
    <w:rsid w:val="00235EB0"/>
    <w:rsid w:val="002463CC"/>
    <w:rsid w:val="002565B9"/>
    <w:rsid w:val="002606DB"/>
    <w:rsid w:val="00267750"/>
    <w:rsid w:val="00296BE4"/>
    <w:rsid w:val="002B5DF7"/>
    <w:rsid w:val="002C0346"/>
    <w:rsid w:val="002D171F"/>
    <w:rsid w:val="002D7C1A"/>
    <w:rsid w:val="00301943"/>
    <w:rsid w:val="00312BCD"/>
    <w:rsid w:val="0032383C"/>
    <w:rsid w:val="00335343"/>
    <w:rsid w:val="0034423D"/>
    <w:rsid w:val="0034492C"/>
    <w:rsid w:val="00361595"/>
    <w:rsid w:val="00365DDE"/>
    <w:rsid w:val="00381B4B"/>
    <w:rsid w:val="003943DD"/>
    <w:rsid w:val="0039542B"/>
    <w:rsid w:val="0040044B"/>
    <w:rsid w:val="00440C30"/>
    <w:rsid w:val="00446DAD"/>
    <w:rsid w:val="0045415F"/>
    <w:rsid w:val="004743AC"/>
    <w:rsid w:val="004A2938"/>
    <w:rsid w:val="004B2214"/>
    <w:rsid w:val="004B2D07"/>
    <w:rsid w:val="004E25F7"/>
    <w:rsid w:val="004E4451"/>
    <w:rsid w:val="004E4613"/>
    <w:rsid w:val="004E6776"/>
    <w:rsid w:val="004E76BA"/>
    <w:rsid w:val="00507090"/>
    <w:rsid w:val="0051147B"/>
    <w:rsid w:val="00522A34"/>
    <w:rsid w:val="00542322"/>
    <w:rsid w:val="00552516"/>
    <w:rsid w:val="005721F5"/>
    <w:rsid w:val="0057498A"/>
    <w:rsid w:val="005C358B"/>
    <w:rsid w:val="005E508C"/>
    <w:rsid w:val="005F17CE"/>
    <w:rsid w:val="006071C1"/>
    <w:rsid w:val="0062367F"/>
    <w:rsid w:val="00637DBF"/>
    <w:rsid w:val="0064134D"/>
    <w:rsid w:val="00646404"/>
    <w:rsid w:val="00652FA3"/>
    <w:rsid w:val="0066202E"/>
    <w:rsid w:val="00667703"/>
    <w:rsid w:val="00686E18"/>
    <w:rsid w:val="006920E0"/>
    <w:rsid w:val="006A0F5C"/>
    <w:rsid w:val="006A5929"/>
    <w:rsid w:val="006B7F8D"/>
    <w:rsid w:val="006D77D4"/>
    <w:rsid w:val="006E027B"/>
    <w:rsid w:val="006E2D39"/>
    <w:rsid w:val="006E690B"/>
    <w:rsid w:val="006F370A"/>
    <w:rsid w:val="00704AE4"/>
    <w:rsid w:val="0073422A"/>
    <w:rsid w:val="007404AC"/>
    <w:rsid w:val="00764D99"/>
    <w:rsid w:val="007A54B4"/>
    <w:rsid w:val="007B469A"/>
    <w:rsid w:val="007E4B35"/>
    <w:rsid w:val="0083427D"/>
    <w:rsid w:val="00863076"/>
    <w:rsid w:val="008770A7"/>
    <w:rsid w:val="00886C2D"/>
    <w:rsid w:val="008A38D3"/>
    <w:rsid w:val="008B2282"/>
    <w:rsid w:val="0090454C"/>
    <w:rsid w:val="00911F72"/>
    <w:rsid w:val="00923670"/>
    <w:rsid w:val="00926996"/>
    <w:rsid w:val="009360DF"/>
    <w:rsid w:val="00962808"/>
    <w:rsid w:val="00982FF7"/>
    <w:rsid w:val="009A0DFC"/>
    <w:rsid w:val="009A1C03"/>
    <w:rsid w:val="009C09C6"/>
    <w:rsid w:val="009C1F93"/>
    <w:rsid w:val="009C592D"/>
    <w:rsid w:val="009D7DB9"/>
    <w:rsid w:val="00A10FBD"/>
    <w:rsid w:val="00A45C0E"/>
    <w:rsid w:val="00A64DFF"/>
    <w:rsid w:val="00A72389"/>
    <w:rsid w:val="00A74966"/>
    <w:rsid w:val="00A75524"/>
    <w:rsid w:val="00A95BED"/>
    <w:rsid w:val="00AA2A08"/>
    <w:rsid w:val="00AB6606"/>
    <w:rsid w:val="00AF7F66"/>
    <w:rsid w:val="00B070E7"/>
    <w:rsid w:val="00B11F0D"/>
    <w:rsid w:val="00B16C5D"/>
    <w:rsid w:val="00B4003B"/>
    <w:rsid w:val="00B42379"/>
    <w:rsid w:val="00B621B5"/>
    <w:rsid w:val="00B75790"/>
    <w:rsid w:val="00BA365A"/>
    <w:rsid w:val="00BB3D1B"/>
    <w:rsid w:val="00BD4B6A"/>
    <w:rsid w:val="00BD54D5"/>
    <w:rsid w:val="00BE1C57"/>
    <w:rsid w:val="00BE4FC6"/>
    <w:rsid w:val="00C00472"/>
    <w:rsid w:val="00C057E8"/>
    <w:rsid w:val="00C133E1"/>
    <w:rsid w:val="00C24C21"/>
    <w:rsid w:val="00C40E2D"/>
    <w:rsid w:val="00C7339B"/>
    <w:rsid w:val="00CE370E"/>
    <w:rsid w:val="00D11D2C"/>
    <w:rsid w:val="00D5219E"/>
    <w:rsid w:val="00D54433"/>
    <w:rsid w:val="00D67739"/>
    <w:rsid w:val="00D75EB6"/>
    <w:rsid w:val="00D87DB1"/>
    <w:rsid w:val="00DC0CF3"/>
    <w:rsid w:val="00DC1FB3"/>
    <w:rsid w:val="00DC4A59"/>
    <w:rsid w:val="00DF5696"/>
    <w:rsid w:val="00E1360A"/>
    <w:rsid w:val="00E25016"/>
    <w:rsid w:val="00E260EB"/>
    <w:rsid w:val="00E26CC9"/>
    <w:rsid w:val="00E332D2"/>
    <w:rsid w:val="00E470A3"/>
    <w:rsid w:val="00E5713E"/>
    <w:rsid w:val="00E8104C"/>
    <w:rsid w:val="00E825B8"/>
    <w:rsid w:val="00EB1976"/>
    <w:rsid w:val="00EC57F0"/>
    <w:rsid w:val="00EF2025"/>
    <w:rsid w:val="00F01446"/>
    <w:rsid w:val="00F028B6"/>
    <w:rsid w:val="00F05160"/>
    <w:rsid w:val="00F07DE3"/>
    <w:rsid w:val="00F11283"/>
    <w:rsid w:val="00F256F0"/>
    <w:rsid w:val="00F65F29"/>
    <w:rsid w:val="00F82350"/>
    <w:rsid w:val="00F93EF5"/>
    <w:rsid w:val="00FA6463"/>
    <w:rsid w:val="00FC021D"/>
    <w:rsid w:val="00FC68EE"/>
    <w:rsid w:val="00FE536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B605"/>
  <w15:chartTrackingRefBased/>
  <w15:docId w15:val="{EE820472-3D27-442D-BF95-020F760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39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9B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733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5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5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4F93-70E6-4031-97B5-6CC7CFB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 </cp:lastModifiedBy>
  <cp:revision>40</cp:revision>
  <dcterms:created xsi:type="dcterms:W3CDTF">2020-12-21T08:51:00Z</dcterms:created>
  <dcterms:modified xsi:type="dcterms:W3CDTF">2022-06-29T21:15:00Z</dcterms:modified>
</cp:coreProperties>
</file>