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FF499" w14:textId="77777777" w:rsidR="00460AC3" w:rsidRPr="001173A3" w:rsidRDefault="00332119" w:rsidP="00053E62">
      <w:pPr>
        <w:jc w:val="both"/>
        <w:rPr>
          <w:rFonts w:ascii="Garamond" w:hAnsi="Garamond"/>
          <w:b/>
          <w:sz w:val="32"/>
          <w:szCs w:val="32"/>
          <w:lang w:val="en-US"/>
        </w:rPr>
      </w:pPr>
      <w:r w:rsidRPr="001173A3">
        <w:rPr>
          <w:rFonts w:ascii="Garamond" w:hAnsi="Garamond"/>
          <w:b/>
          <w:sz w:val="32"/>
          <w:szCs w:val="32"/>
          <w:lang w:val="en-US"/>
        </w:rPr>
        <w:t xml:space="preserve">Capturing the EU International Performance: an </w:t>
      </w:r>
      <w:r w:rsidR="009B7E15" w:rsidRPr="001173A3">
        <w:rPr>
          <w:rFonts w:ascii="Garamond" w:hAnsi="Garamond"/>
          <w:b/>
          <w:sz w:val="32"/>
          <w:szCs w:val="32"/>
          <w:lang w:val="en-US"/>
        </w:rPr>
        <w:t xml:space="preserve">Analytical Framework </w:t>
      </w:r>
    </w:p>
    <w:p w14:paraId="276766B4" w14:textId="77777777" w:rsidR="001173A3" w:rsidRDefault="001173A3" w:rsidP="00053E62">
      <w:pPr>
        <w:rPr>
          <w:rFonts w:ascii="Garamond" w:hAnsi="Garamond"/>
          <w:b/>
          <w:sz w:val="24"/>
          <w:szCs w:val="24"/>
          <w:lang w:val="en-US"/>
        </w:rPr>
      </w:pPr>
    </w:p>
    <w:p w14:paraId="44DBC80E" w14:textId="77777777" w:rsidR="00332119" w:rsidRPr="00004ED1" w:rsidRDefault="00053E62" w:rsidP="00053E62">
      <w:pPr>
        <w:ind w:right="-58"/>
        <w:jc w:val="both"/>
        <w:rPr>
          <w:rFonts w:ascii="Garamond" w:hAnsi="Garamond"/>
          <w:b/>
          <w:sz w:val="24"/>
          <w:szCs w:val="24"/>
          <w:lang w:val="en-US"/>
        </w:rPr>
      </w:pPr>
      <w:r>
        <w:rPr>
          <w:rFonts w:ascii="Garamond" w:hAnsi="Garamond"/>
          <w:b/>
          <w:sz w:val="24"/>
          <w:szCs w:val="24"/>
          <w:lang w:val="en-US"/>
        </w:rPr>
        <w:t>Dimitris Bourantonis</w:t>
      </w:r>
      <w:r w:rsidR="001173A3" w:rsidRPr="001173A3">
        <w:rPr>
          <w:rFonts w:ascii="Garamond" w:hAnsi="Garamond"/>
          <w:sz w:val="24"/>
          <w:szCs w:val="24"/>
          <w:lang w:val="en-US"/>
        </w:rPr>
        <w:t xml:space="preserve">, </w:t>
      </w:r>
      <w:r>
        <w:rPr>
          <w:rFonts w:ascii="Garamond" w:hAnsi="Garamond"/>
          <w:sz w:val="24"/>
          <w:szCs w:val="24"/>
          <w:lang w:val="en-US"/>
        </w:rPr>
        <w:t>Professor</w:t>
      </w:r>
      <w:r w:rsidR="001173A3" w:rsidRPr="001173A3">
        <w:rPr>
          <w:rFonts w:ascii="Garamond" w:hAnsi="Garamond"/>
          <w:sz w:val="24"/>
          <w:szCs w:val="24"/>
          <w:lang w:val="en-US"/>
        </w:rPr>
        <w:t>, Department of International and European Economic Studies, Athens University of Economics and Business,</w:t>
      </w:r>
      <w:r>
        <w:rPr>
          <w:rFonts w:ascii="Garamond" w:hAnsi="Garamond"/>
          <w:sz w:val="24"/>
          <w:szCs w:val="24"/>
          <w:lang w:val="en-US"/>
        </w:rPr>
        <w:t xml:space="preserve"> e-mail: </w:t>
      </w:r>
      <w:r>
        <w:rPr>
          <w:lang w:val="en-US"/>
        </w:rPr>
        <w:t xml:space="preserve">bouranto@aueb.gr </w:t>
      </w:r>
      <w:r w:rsidR="001173A3" w:rsidRPr="001173A3">
        <w:rPr>
          <w:rFonts w:ascii="Garamond" w:hAnsi="Garamond"/>
          <w:sz w:val="24"/>
          <w:szCs w:val="24"/>
          <w:lang w:val="en-US"/>
        </w:rPr>
        <w:t xml:space="preserve"> </w:t>
      </w:r>
    </w:p>
    <w:p w14:paraId="3E96918F" w14:textId="77777777" w:rsidR="001173A3" w:rsidRDefault="001173A3" w:rsidP="00053E62">
      <w:pPr>
        <w:rPr>
          <w:rFonts w:ascii="Garamond" w:hAnsi="Garamond"/>
          <w:b/>
          <w:sz w:val="24"/>
          <w:szCs w:val="24"/>
          <w:lang w:val="en-US"/>
        </w:rPr>
      </w:pPr>
    </w:p>
    <w:p w14:paraId="315AF7F0" w14:textId="77777777" w:rsidR="008543D7" w:rsidRPr="00004ED1" w:rsidRDefault="008543D7" w:rsidP="00053E62">
      <w:pPr>
        <w:rPr>
          <w:rFonts w:ascii="Garamond" w:hAnsi="Garamond"/>
          <w:b/>
          <w:sz w:val="24"/>
          <w:szCs w:val="24"/>
          <w:lang w:val="en-US"/>
        </w:rPr>
      </w:pPr>
      <w:r w:rsidRPr="00004ED1">
        <w:rPr>
          <w:rFonts w:ascii="Garamond" w:hAnsi="Garamond"/>
          <w:b/>
          <w:sz w:val="24"/>
          <w:szCs w:val="24"/>
          <w:lang w:val="en-US"/>
        </w:rPr>
        <w:t xml:space="preserve">From </w:t>
      </w:r>
      <w:r w:rsidRPr="00004ED1">
        <w:rPr>
          <w:rFonts w:ascii="Garamond" w:hAnsi="Garamond"/>
          <w:b/>
          <w:i/>
          <w:sz w:val="24"/>
          <w:szCs w:val="24"/>
          <w:lang w:val="en-US"/>
        </w:rPr>
        <w:t>Presence</w:t>
      </w:r>
      <w:r w:rsidRPr="00004ED1">
        <w:rPr>
          <w:rFonts w:ascii="Garamond" w:hAnsi="Garamond"/>
          <w:b/>
          <w:sz w:val="24"/>
          <w:szCs w:val="24"/>
          <w:lang w:val="en-US"/>
        </w:rPr>
        <w:t xml:space="preserve"> to </w:t>
      </w:r>
      <w:r w:rsidRPr="00004ED1">
        <w:rPr>
          <w:rFonts w:ascii="Garamond" w:hAnsi="Garamond"/>
          <w:b/>
          <w:i/>
          <w:sz w:val="24"/>
          <w:szCs w:val="24"/>
          <w:lang w:val="en-US"/>
        </w:rPr>
        <w:t>Actorness</w:t>
      </w:r>
      <w:r w:rsidRPr="00004ED1">
        <w:rPr>
          <w:rFonts w:ascii="Garamond" w:hAnsi="Garamond"/>
          <w:b/>
          <w:sz w:val="24"/>
          <w:szCs w:val="24"/>
          <w:lang w:val="en-US"/>
        </w:rPr>
        <w:t xml:space="preserve"> to </w:t>
      </w:r>
      <w:r w:rsidRPr="00004ED1">
        <w:rPr>
          <w:rFonts w:ascii="Garamond" w:hAnsi="Garamond"/>
          <w:b/>
          <w:i/>
          <w:sz w:val="24"/>
          <w:szCs w:val="24"/>
          <w:lang w:val="en-US"/>
        </w:rPr>
        <w:t>Performance</w:t>
      </w:r>
      <w:r w:rsidRPr="00004ED1">
        <w:rPr>
          <w:rFonts w:ascii="Garamond" w:hAnsi="Garamond"/>
          <w:b/>
          <w:sz w:val="24"/>
          <w:szCs w:val="24"/>
          <w:lang w:val="en-US"/>
        </w:rPr>
        <w:t>: A Conceptual Sojourn</w:t>
      </w:r>
    </w:p>
    <w:p w14:paraId="09E675A0" w14:textId="77777777" w:rsidR="00293A67" w:rsidRPr="00004ED1" w:rsidRDefault="00293A67" w:rsidP="00053E62">
      <w:pPr>
        <w:jc w:val="both"/>
        <w:rPr>
          <w:rFonts w:ascii="Garamond" w:hAnsi="Garamond"/>
          <w:sz w:val="24"/>
          <w:szCs w:val="24"/>
          <w:lang w:val="en-US"/>
        </w:rPr>
      </w:pPr>
      <w:r w:rsidRPr="00004ED1">
        <w:rPr>
          <w:rFonts w:ascii="Garamond" w:hAnsi="Garamond"/>
          <w:sz w:val="24"/>
          <w:szCs w:val="24"/>
          <w:lang w:val="en-US"/>
        </w:rPr>
        <w:t xml:space="preserve">The discussion over the international dimension of the EU was long held captive to the overarching ontological question about the ‘nature of the beast’, creating a tense academic debate about whether the EU could and should be analyzed along the lines of traditional approaches to International Relations (IR). In parallel to the inconclusive academic debate, intra-EU policy advances and institutional developments in the European integration process have always had important externalities, forcing interactions of the EC/EU structures with the outer world. They shape the perceptions and expectations of other international actors, thus clearly indicating some form of international </w:t>
      </w:r>
      <w:r w:rsidRPr="00004ED1">
        <w:rPr>
          <w:rFonts w:ascii="Garamond" w:hAnsi="Garamond"/>
          <w:i/>
          <w:sz w:val="24"/>
          <w:szCs w:val="24"/>
          <w:lang w:val="en-US"/>
        </w:rPr>
        <w:t>presence</w:t>
      </w:r>
      <w:r w:rsidRPr="00004ED1">
        <w:rPr>
          <w:rFonts w:ascii="Garamond" w:hAnsi="Garamond"/>
          <w:sz w:val="24"/>
          <w:szCs w:val="24"/>
          <w:lang w:val="en-US"/>
        </w:rPr>
        <w:t xml:space="preserve"> for the EU (Allen and Smith 1990). However, presence does not necessarily connote purposive external action, but may derive as an unintended consequence of domestic policy-making processes, like the creation of the Single Market or the Economic and Monetary Union. </w:t>
      </w:r>
    </w:p>
    <w:p w14:paraId="693B40E2" w14:textId="77777777" w:rsidR="00293A67" w:rsidRPr="00004ED1" w:rsidRDefault="00293A67" w:rsidP="00053E62">
      <w:pPr>
        <w:jc w:val="both"/>
        <w:rPr>
          <w:rFonts w:ascii="Garamond" w:hAnsi="Garamond"/>
          <w:sz w:val="24"/>
          <w:szCs w:val="24"/>
          <w:lang w:val="en-US"/>
        </w:rPr>
      </w:pPr>
      <w:r w:rsidRPr="00004ED1">
        <w:rPr>
          <w:rFonts w:ascii="Garamond" w:hAnsi="Garamond"/>
          <w:sz w:val="24"/>
          <w:szCs w:val="24"/>
          <w:lang w:val="en-US"/>
        </w:rPr>
        <w:t xml:space="preserve">The concept of </w:t>
      </w:r>
      <w:r w:rsidRPr="00004ED1">
        <w:rPr>
          <w:rFonts w:ascii="Garamond" w:hAnsi="Garamond"/>
          <w:i/>
          <w:sz w:val="24"/>
          <w:szCs w:val="24"/>
          <w:lang w:val="en-US"/>
        </w:rPr>
        <w:t>actorness</w:t>
      </w:r>
      <w:r w:rsidRPr="00004ED1">
        <w:rPr>
          <w:rFonts w:ascii="Garamond" w:hAnsi="Garamond"/>
          <w:sz w:val="24"/>
          <w:szCs w:val="24"/>
          <w:lang w:val="en-US"/>
        </w:rPr>
        <w:t xml:space="preserve"> has taken the debate a step forward in the sense that it assumes deliberative and active functioning in international politics (Jupille and Caporaso 1998; Sjöstedt 1977; Cosgrove and Twitchett 1970). In other words, actorness relates to the capacity to act, whereas presence simply indicates a function of being rather than acting. It entails a degree of independence from the external environment, i.e. no full subjection to another actor, but also a degree of autonomy from the internal constituents, thus indicating a political entity capable of formulating purposes, reaching decisions, and engaging in purposive action (Bretherton and Vogler 2006). Thus, internal and external delimitation is crucial in the understanding of the concept. The second important point is that it is a relational concept, in the sense that its attribution to any political unit is an intersubjective process not only based on own perceptions but also requiring the recognition of the other units involved in any political process. In the EU context, it does not suffice for the EU to claim international actorness, it also needs to be recognized by states, non-state actors, and international organizations as an actor in the world stage. </w:t>
      </w:r>
    </w:p>
    <w:p w14:paraId="2134FC10" w14:textId="77777777" w:rsidR="00293A67" w:rsidRPr="00004ED1" w:rsidRDefault="00293A67" w:rsidP="00053E62">
      <w:pPr>
        <w:jc w:val="both"/>
        <w:rPr>
          <w:rFonts w:ascii="Garamond" w:hAnsi="Garamond"/>
          <w:sz w:val="24"/>
          <w:szCs w:val="24"/>
          <w:lang w:val="en-US"/>
        </w:rPr>
      </w:pPr>
      <w:r w:rsidRPr="00004ED1">
        <w:rPr>
          <w:rFonts w:ascii="Garamond" w:hAnsi="Garamond"/>
          <w:sz w:val="24"/>
          <w:szCs w:val="24"/>
          <w:lang w:val="en-US"/>
        </w:rPr>
        <w:t xml:space="preserve">There are different sets of criteria in the literature used to assess actorness. Cosgrove and Twitchett (1970) identify three mutually interdependent tests of actorness: the degree of autonomous decision-making power, continuing functions with an impact on inter-state relations, and an acknowledgement of the importance of the would-be actor by its members and other international actors. Jupille and Caporaso (1998) ascertain actorness </w:t>
      </w:r>
      <w:r w:rsidRPr="00004ED1">
        <w:rPr>
          <w:rFonts w:ascii="Garamond" w:hAnsi="Garamond"/>
          <w:sz w:val="24"/>
          <w:szCs w:val="24"/>
          <w:lang w:val="en-US"/>
        </w:rPr>
        <w:lastRenderedPageBreak/>
        <w:t xml:space="preserve">on the basis of four criteria: recognition, authority, cohesion, and autonomy. The first criterion refers to the acceptance of the actor in question by other actors as a legitimate interlocutor; the second one to the would-be actor’s legal competence to act in a specific field; the third to its capacity to articulate consistent policy preferences; and the fourth, to institutional distinctiveness, i.e. capacity to function independently from its constituent members. Groen and Niemann (2011) use a variation of these criteria, focusing for reasons of parsimony only on cohesion and autonomy, arguing that the other two are redundant. Bretherton and Vogler (2006) propose five basic requirements for actorness: shared commitment to a set of overarching values and principles, the identification of policy priorities and the formulation of coherent policies, the ability to negotiate effectively with other actors in the international system, the availability of appropriate policy instruments, and the domestic legitimation of decision-making in the relevant fields with an external dimension.   </w:t>
      </w:r>
    </w:p>
    <w:p w14:paraId="08B6C31D" w14:textId="77777777" w:rsidR="00293A67" w:rsidRPr="00004ED1" w:rsidRDefault="00293A67" w:rsidP="00053E62">
      <w:pPr>
        <w:jc w:val="both"/>
        <w:rPr>
          <w:rFonts w:ascii="Garamond" w:hAnsi="Garamond"/>
          <w:sz w:val="24"/>
          <w:szCs w:val="24"/>
          <w:lang w:val="en-US"/>
        </w:rPr>
      </w:pPr>
      <w:r w:rsidRPr="00004ED1">
        <w:rPr>
          <w:rFonts w:ascii="Garamond" w:hAnsi="Garamond"/>
          <w:sz w:val="24"/>
          <w:szCs w:val="24"/>
          <w:lang w:val="en-US"/>
        </w:rPr>
        <w:t>The latter set is the only one that explicitly associates actorness with effective</w:t>
      </w:r>
      <w:r w:rsidR="0000627F" w:rsidRPr="00004ED1">
        <w:rPr>
          <w:rFonts w:ascii="Garamond" w:hAnsi="Garamond"/>
          <w:sz w:val="24"/>
          <w:szCs w:val="24"/>
          <w:lang w:val="en-US"/>
        </w:rPr>
        <w:t xml:space="preserve"> bargaining</w:t>
      </w:r>
      <w:r w:rsidRPr="00004ED1">
        <w:rPr>
          <w:rFonts w:ascii="Garamond" w:hAnsi="Garamond"/>
          <w:sz w:val="24"/>
          <w:szCs w:val="24"/>
          <w:lang w:val="en-US"/>
        </w:rPr>
        <w:t xml:space="preserve">, considering </w:t>
      </w:r>
      <w:r w:rsidR="0000627F" w:rsidRPr="00004ED1">
        <w:rPr>
          <w:rFonts w:ascii="Garamond" w:hAnsi="Garamond"/>
          <w:sz w:val="24"/>
          <w:szCs w:val="24"/>
          <w:lang w:val="en-US"/>
        </w:rPr>
        <w:t xml:space="preserve">it one of the </w:t>
      </w:r>
      <w:r w:rsidRPr="00004ED1">
        <w:rPr>
          <w:rFonts w:ascii="Garamond" w:hAnsi="Garamond"/>
          <w:sz w:val="24"/>
          <w:szCs w:val="24"/>
          <w:lang w:val="en-US"/>
        </w:rPr>
        <w:t>prerequisite</w:t>
      </w:r>
      <w:r w:rsidR="0000627F" w:rsidRPr="00004ED1">
        <w:rPr>
          <w:rFonts w:ascii="Garamond" w:hAnsi="Garamond"/>
          <w:sz w:val="24"/>
          <w:szCs w:val="24"/>
          <w:lang w:val="en-US"/>
        </w:rPr>
        <w:t>s</w:t>
      </w:r>
      <w:r w:rsidRPr="00004ED1">
        <w:rPr>
          <w:rFonts w:ascii="Garamond" w:hAnsi="Garamond"/>
          <w:sz w:val="24"/>
          <w:szCs w:val="24"/>
          <w:lang w:val="en-US"/>
        </w:rPr>
        <w:t xml:space="preserve"> for actor capacity. </w:t>
      </w:r>
      <w:r w:rsidR="0051088E" w:rsidRPr="00004ED1">
        <w:rPr>
          <w:rFonts w:ascii="Garamond" w:hAnsi="Garamond"/>
          <w:sz w:val="24"/>
          <w:szCs w:val="24"/>
          <w:lang w:val="en-US"/>
        </w:rPr>
        <w:t xml:space="preserve">However, </w:t>
      </w:r>
      <w:r w:rsidRPr="00004ED1">
        <w:rPr>
          <w:rFonts w:ascii="Garamond" w:hAnsi="Garamond"/>
          <w:sz w:val="24"/>
          <w:szCs w:val="24"/>
          <w:lang w:val="en-US"/>
        </w:rPr>
        <w:t xml:space="preserve">this criterion is problematic, simply because a political unit in lack of bargaining capacity may still be an international actor albeit an ineffective one. More specifically for the EU, limited bargaining capacity may undermine the EU outreach and impact in international interactions (cf. Jørgensen 2009: 203-207), but does not nullify the actorness potential of the EU altogether. However, purposive actors do engage in international interactions in pursuit of own goals and objectives and effectiveness is attained on the basis of achieving these objectives. Setting aside very few cases of power asymmetries of such magnitude that bring about unilateral actions by some actors to meet their objectives, all external activities of an actor entail negotiations, in which bargaining capacity and power are crucial for the accomplishment of the identified goals. </w:t>
      </w:r>
    </w:p>
    <w:p w14:paraId="6667E615" w14:textId="77777777" w:rsidR="006307D6" w:rsidRDefault="008F7E44" w:rsidP="00053E62">
      <w:pPr>
        <w:ind w:right="-58"/>
        <w:jc w:val="both"/>
        <w:rPr>
          <w:rFonts w:ascii="Garamond" w:hAnsi="Garamond"/>
          <w:sz w:val="24"/>
          <w:szCs w:val="24"/>
          <w:lang w:val="en-US"/>
        </w:rPr>
      </w:pPr>
      <w:r w:rsidRPr="00004ED1">
        <w:rPr>
          <w:rFonts w:ascii="Garamond" w:hAnsi="Garamond"/>
          <w:sz w:val="24"/>
          <w:szCs w:val="24"/>
          <w:lang w:val="en-US"/>
        </w:rPr>
        <w:t>T</w:t>
      </w:r>
      <w:r w:rsidR="00510B4F" w:rsidRPr="00004ED1">
        <w:rPr>
          <w:rFonts w:ascii="Garamond" w:hAnsi="Garamond"/>
          <w:sz w:val="24"/>
          <w:szCs w:val="24"/>
          <w:lang w:val="en-US"/>
        </w:rPr>
        <w:t>he third generation of research</w:t>
      </w:r>
      <w:r w:rsidRPr="00004ED1">
        <w:rPr>
          <w:rFonts w:ascii="Garamond" w:hAnsi="Garamond"/>
          <w:sz w:val="24"/>
          <w:szCs w:val="24"/>
          <w:lang w:val="en-US"/>
        </w:rPr>
        <w:t xml:space="preserve"> on the EU international dimension</w:t>
      </w:r>
      <w:r w:rsidR="00510B4F" w:rsidRPr="00004ED1">
        <w:rPr>
          <w:rFonts w:ascii="Garamond" w:hAnsi="Garamond"/>
          <w:sz w:val="24"/>
          <w:szCs w:val="24"/>
          <w:lang w:val="en-US"/>
        </w:rPr>
        <w:t xml:space="preserve"> </w:t>
      </w:r>
      <w:r w:rsidR="006307D6" w:rsidRPr="00004ED1">
        <w:rPr>
          <w:rFonts w:ascii="Garamond" w:hAnsi="Garamond"/>
          <w:sz w:val="24"/>
          <w:szCs w:val="24"/>
          <w:lang w:val="en-US"/>
        </w:rPr>
        <w:t xml:space="preserve">moves beyond presence and actorness, </w:t>
      </w:r>
      <w:r w:rsidR="00510B4F" w:rsidRPr="00004ED1">
        <w:rPr>
          <w:rFonts w:ascii="Garamond" w:hAnsi="Garamond"/>
          <w:sz w:val="24"/>
          <w:szCs w:val="24"/>
          <w:lang w:val="en-US"/>
        </w:rPr>
        <w:t>tak</w:t>
      </w:r>
      <w:r w:rsidR="006307D6" w:rsidRPr="00004ED1">
        <w:rPr>
          <w:rFonts w:ascii="Garamond" w:hAnsi="Garamond"/>
          <w:sz w:val="24"/>
          <w:szCs w:val="24"/>
          <w:lang w:val="en-US"/>
        </w:rPr>
        <w:t>ing</w:t>
      </w:r>
      <w:r w:rsidR="00510B4F" w:rsidRPr="00004ED1">
        <w:rPr>
          <w:rFonts w:ascii="Garamond" w:hAnsi="Garamond"/>
          <w:sz w:val="24"/>
          <w:szCs w:val="24"/>
          <w:lang w:val="en-US"/>
        </w:rPr>
        <w:t xml:space="preserve"> up issues of effectiveness and </w:t>
      </w:r>
      <w:r w:rsidR="00510B4F" w:rsidRPr="00004ED1">
        <w:rPr>
          <w:rFonts w:ascii="Garamond" w:hAnsi="Garamond"/>
          <w:i/>
          <w:sz w:val="24"/>
          <w:szCs w:val="24"/>
          <w:lang w:val="en-US"/>
        </w:rPr>
        <w:t>performance</w:t>
      </w:r>
      <w:r w:rsidR="00510B4F" w:rsidRPr="00004ED1">
        <w:rPr>
          <w:rFonts w:ascii="Garamond" w:hAnsi="Garamond"/>
          <w:sz w:val="24"/>
          <w:szCs w:val="24"/>
          <w:lang w:val="en-US"/>
        </w:rPr>
        <w:t xml:space="preserve">. </w:t>
      </w:r>
      <w:r w:rsidR="004B21D7" w:rsidRPr="00004ED1">
        <w:rPr>
          <w:rFonts w:ascii="Garamond" w:hAnsi="Garamond"/>
          <w:sz w:val="24"/>
          <w:szCs w:val="24"/>
          <w:lang w:val="en-US"/>
        </w:rPr>
        <w:t>In general, performance of international organizations (IOs) has emerged as a key concern in light of widespread criticism towards IOs that they are undemocratic and lack legitimacy (Zweifel 2006). In that respect, good performance may justify the existence of an –otherwise unaccountable- IO, under the assumption that as long as an IO delivers on the allocated tasks and functions, issues of democratic governance may be downplayed</w:t>
      </w:r>
      <w:r w:rsidR="00384EC3" w:rsidRPr="00004ED1">
        <w:rPr>
          <w:rFonts w:ascii="Garamond" w:hAnsi="Garamond"/>
          <w:sz w:val="24"/>
          <w:szCs w:val="24"/>
          <w:lang w:val="en-US"/>
        </w:rPr>
        <w:t xml:space="preserve"> and marginalized</w:t>
      </w:r>
      <w:r w:rsidR="004B21D7" w:rsidRPr="00004ED1">
        <w:rPr>
          <w:rFonts w:ascii="Garamond" w:hAnsi="Garamond"/>
          <w:sz w:val="24"/>
          <w:szCs w:val="24"/>
          <w:lang w:val="en-US"/>
        </w:rPr>
        <w:t>. In the EU context, this discussion resembles a lot the ‘permissive consensus’ thesis that</w:t>
      </w:r>
      <w:r w:rsidR="00384EC3" w:rsidRPr="00004ED1">
        <w:rPr>
          <w:rFonts w:ascii="Garamond" w:hAnsi="Garamond"/>
          <w:sz w:val="24"/>
          <w:szCs w:val="24"/>
          <w:lang w:val="en-US"/>
        </w:rPr>
        <w:t xml:space="preserve"> featured strongly in</w:t>
      </w:r>
      <w:r w:rsidR="004B21D7" w:rsidRPr="00004ED1">
        <w:rPr>
          <w:rFonts w:ascii="Garamond" w:hAnsi="Garamond"/>
          <w:sz w:val="24"/>
          <w:szCs w:val="24"/>
          <w:lang w:val="en-US"/>
        </w:rPr>
        <w:t xml:space="preserve"> the early stages of European integration</w:t>
      </w:r>
      <w:r w:rsidR="00EE62E7" w:rsidRPr="00004ED1">
        <w:rPr>
          <w:rFonts w:ascii="Garamond" w:hAnsi="Garamond"/>
          <w:sz w:val="24"/>
          <w:szCs w:val="24"/>
          <w:lang w:val="en-US"/>
        </w:rPr>
        <w:t xml:space="preserve"> (Lindberg and Scheingold</w:t>
      </w:r>
      <w:r w:rsidR="003D685D" w:rsidRPr="00004ED1">
        <w:rPr>
          <w:rFonts w:ascii="Garamond" w:hAnsi="Garamond"/>
          <w:sz w:val="24"/>
          <w:szCs w:val="24"/>
          <w:lang w:val="en-US"/>
        </w:rPr>
        <w:t>, 1970: 40-</w:t>
      </w:r>
      <w:r w:rsidR="00EE62E7" w:rsidRPr="00004ED1">
        <w:rPr>
          <w:rFonts w:ascii="Garamond" w:hAnsi="Garamond"/>
          <w:sz w:val="24"/>
          <w:szCs w:val="24"/>
          <w:lang w:val="en-US"/>
        </w:rPr>
        <w:t>41)</w:t>
      </w:r>
      <w:r w:rsidR="004B21D7" w:rsidRPr="00004ED1">
        <w:rPr>
          <w:rFonts w:ascii="Garamond" w:hAnsi="Garamond"/>
          <w:sz w:val="24"/>
          <w:szCs w:val="24"/>
          <w:lang w:val="en-US"/>
        </w:rPr>
        <w:t xml:space="preserve">. At that time, public political apathy towards the EU institutions </w:t>
      </w:r>
      <w:r w:rsidR="003D685D" w:rsidRPr="00004ED1">
        <w:rPr>
          <w:rFonts w:ascii="Garamond" w:hAnsi="Garamond"/>
          <w:sz w:val="24"/>
          <w:szCs w:val="24"/>
          <w:lang w:val="en-US"/>
        </w:rPr>
        <w:t xml:space="preserve">and political </w:t>
      </w:r>
      <w:r w:rsidR="004B21D7" w:rsidRPr="00004ED1">
        <w:rPr>
          <w:rFonts w:ascii="Garamond" w:hAnsi="Garamond"/>
          <w:sz w:val="24"/>
          <w:szCs w:val="24"/>
          <w:lang w:val="en-US"/>
        </w:rPr>
        <w:t xml:space="preserve">structures </w:t>
      </w:r>
      <w:r w:rsidR="003D685D" w:rsidRPr="00004ED1">
        <w:rPr>
          <w:rFonts w:ascii="Garamond" w:hAnsi="Garamond"/>
          <w:sz w:val="24"/>
          <w:szCs w:val="24"/>
          <w:lang w:val="en-US"/>
        </w:rPr>
        <w:t xml:space="preserve">was not a concern, very much as a result of the widespread perception of prosperity associated with the integration process. </w:t>
      </w:r>
      <w:r w:rsidR="00FB1C99" w:rsidRPr="00004ED1">
        <w:rPr>
          <w:rFonts w:ascii="Garamond" w:hAnsi="Garamond"/>
          <w:sz w:val="24"/>
          <w:szCs w:val="24"/>
          <w:lang w:val="en-US"/>
        </w:rPr>
        <w:t>The more questionable the prosperity-enhancing dimension of the EU became</w:t>
      </w:r>
      <w:r w:rsidR="00384EC3" w:rsidRPr="00004ED1">
        <w:rPr>
          <w:rFonts w:ascii="Garamond" w:hAnsi="Garamond"/>
          <w:sz w:val="24"/>
          <w:szCs w:val="24"/>
          <w:lang w:val="en-US"/>
        </w:rPr>
        <w:t xml:space="preserve"> over time</w:t>
      </w:r>
      <w:r w:rsidR="00FB1C99" w:rsidRPr="00004ED1">
        <w:rPr>
          <w:rFonts w:ascii="Garamond" w:hAnsi="Garamond"/>
          <w:sz w:val="24"/>
          <w:szCs w:val="24"/>
          <w:lang w:val="en-US"/>
        </w:rPr>
        <w:t xml:space="preserve">, the more critical voices were heard on the EU ‘democratic deficit’ and its paraphernalia (Hooghe and Marks 2008). This is especially true for the international interactions of the EU that </w:t>
      </w:r>
      <w:r w:rsidR="009A0637" w:rsidRPr="00004ED1">
        <w:rPr>
          <w:rFonts w:ascii="Garamond" w:hAnsi="Garamond"/>
          <w:sz w:val="24"/>
          <w:szCs w:val="24"/>
          <w:lang w:val="en-US"/>
        </w:rPr>
        <w:t xml:space="preserve">encroach </w:t>
      </w:r>
      <w:r w:rsidR="00FB1C99" w:rsidRPr="00004ED1">
        <w:rPr>
          <w:rFonts w:ascii="Garamond" w:hAnsi="Garamond"/>
          <w:sz w:val="24"/>
          <w:szCs w:val="24"/>
          <w:lang w:val="en-US"/>
        </w:rPr>
        <w:t>on the core of national sovereignty constraining national foreign affairs</w:t>
      </w:r>
      <w:r w:rsidR="009A0637" w:rsidRPr="00004ED1">
        <w:rPr>
          <w:rFonts w:ascii="Garamond" w:hAnsi="Garamond"/>
          <w:sz w:val="24"/>
          <w:szCs w:val="24"/>
          <w:lang w:val="en-US"/>
        </w:rPr>
        <w:t xml:space="preserve"> policies. Thus, understanding and assessing the EU international performance is crucial for further integration in this field. </w:t>
      </w:r>
    </w:p>
    <w:p w14:paraId="3AF29676" w14:textId="77777777" w:rsidR="00096DAB" w:rsidRDefault="00096DAB" w:rsidP="00053E62">
      <w:pPr>
        <w:ind w:right="-58"/>
        <w:jc w:val="both"/>
        <w:rPr>
          <w:rFonts w:ascii="Garamond" w:hAnsi="Garamond"/>
          <w:sz w:val="24"/>
          <w:szCs w:val="24"/>
          <w:lang w:val="en-US"/>
        </w:rPr>
      </w:pPr>
    </w:p>
    <w:p w14:paraId="0782F6C0" w14:textId="77777777" w:rsidR="00096DAB" w:rsidRPr="00096DAB" w:rsidRDefault="00096DAB" w:rsidP="00053E62">
      <w:pPr>
        <w:ind w:right="-58"/>
        <w:jc w:val="both"/>
        <w:rPr>
          <w:rFonts w:ascii="Garamond" w:hAnsi="Garamond"/>
          <w:b/>
          <w:i/>
          <w:sz w:val="24"/>
          <w:szCs w:val="24"/>
          <w:lang w:val="en-US"/>
        </w:rPr>
      </w:pPr>
      <w:r w:rsidRPr="00096DAB">
        <w:rPr>
          <w:rFonts w:ascii="Garamond" w:hAnsi="Garamond"/>
          <w:b/>
          <w:i/>
          <w:sz w:val="24"/>
          <w:szCs w:val="24"/>
          <w:lang w:val="en-US"/>
        </w:rPr>
        <w:t xml:space="preserve">Three Levels of Performance Analysis: Output, Outcome, and Impact </w:t>
      </w:r>
    </w:p>
    <w:p w14:paraId="4640DAF9" w14:textId="77777777" w:rsidR="00FD0A95" w:rsidRPr="00004ED1" w:rsidRDefault="00FD0A95" w:rsidP="00053E62">
      <w:pPr>
        <w:ind w:right="-58"/>
        <w:jc w:val="both"/>
        <w:rPr>
          <w:rFonts w:ascii="Garamond" w:hAnsi="Garamond"/>
          <w:sz w:val="24"/>
          <w:szCs w:val="24"/>
          <w:lang w:val="en-US"/>
        </w:rPr>
      </w:pPr>
      <w:r w:rsidRPr="00004ED1">
        <w:rPr>
          <w:rFonts w:ascii="Garamond" w:hAnsi="Garamond"/>
          <w:sz w:val="24"/>
          <w:szCs w:val="24"/>
          <w:lang w:val="en-US"/>
        </w:rPr>
        <w:t>In contrast to effectiveness, which is associated with an organization’s ability to achieve certain outcomes, t</w:t>
      </w:r>
      <w:r w:rsidR="00A03FDB" w:rsidRPr="00004ED1">
        <w:rPr>
          <w:rFonts w:ascii="Garamond" w:hAnsi="Garamond"/>
          <w:sz w:val="24"/>
          <w:szCs w:val="24"/>
          <w:lang w:val="en-US"/>
        </w:rPr>
        <w:t xml:space="preserve">he concept of performance is not only about the </w:t>
      </w:r>
      <w:r w:rsidR="00384EC3" w:rsidRPr="00004ED1">
        <w:rPr>
          <w:rFonts w:ascii="Garamond" w:hAnsi="Garamond"/>
          <w:sz w:val="24"/>
          <w:szCs w:val="24"/>
          <w:lang w:val="en-US"/>
        </w:rPr>
        <w:t>achieve</w:t>
      </w:r>
      <w:r w:rsidRPr="00004ED1">
        <w:rPr>
          <w:rFonts w:ascii="Garamond" w:hAnsi="Garamond"/>
          <w:sz w:val="24"/>
          <w:szCs w:val="24"/>
          <w:lang w:val="en-US"/>
        </w:rPr>
        <w:t>ment of</w:t>
      </w:r>
      <w:r w:rsidR="00384EC3" w:rsidRPr="00004ED1">
        <w:rPr>
          <w:rFonts w:ascii="Garamond" w:hAnsi="Garamond"/>
          <w:sz w:val="24"/>
          <w:szCs w:val="24"/>
          <w:lang w:val="en-US"/>
        </w:rPr>
        <w:t xml:space="preserve"> agreed-upon objectives</w:t>
      </w:r>
      <w:r w:rsidR="00A03FDB" w:rsidRPr="00004ED1">
        <w:rPr>
          <w:rFonts w:ascii="Garamond" w:hAnsi="Garamond"/>
          <w:sz w:val="24"/>
          <w:szCs w:val="24"/>
          <w:lang w:val="en-US"/>
        </w:rPr>
        <w:t>.</w:t>
      </w:r>
      <w:r w:rsidRPr="00004ED1">
        <w:rPr>
          <w:rFonts w:ascii="Garamond" w:hAnsi="Garamond"/>
          <w:sz w:val="24"/>
          <w:szCs w:val="24"/>
          <w:lang w:val="en-US"/>
        </w:rPr>
        <w:t xml:space="preserve"> It goes deeper by taking into consideration the underlying, intra-organizational, agreement-reaching processes.</w:t>
      </w:r>
      <w:r w:rsidR="00810FB0" w:rsidRPr="00004ED1">
        <w:rPr>
          <w:rFonts w:ascii="Garamond" w:hAnsi="Garamond"/>
          <w:sz w:val="24"/>
          <w:szCs w:val="24"/>
          <w:lang w:val="en-US"/>
        </w:rPr>
        <w:t xml:space="preserve"> I</w:t>
      </w:r>
      <w:r w:rsidRPr="00004ED1">
        <w:rPr>
          <w:rFonts w:ascii="Garamond" w:hAnsi="Garamond"/>
          <w:sz w:val="24"/>
          <w:szCs w:val="24"/>
          <w:lang w:val="en-US"/>
        </w:rPr>
        <w:t xml:space="preserve">t </w:t>
      </w:r>
      <w:r w:rsidR="00810FB0" w:rsidRPr="00004ED1">
        <w:rPr>
          <w:rFonts w:ascii="Garamond" w:hAnsi="Garamond"/>
          <w:sz w:val="24"/>
          <w:szCs w:val="24"/>
          <w:lang w:val="en-US"/>
        </w:rPr>
        <w:t xml:space="preserve">assesses implicitly the content of these objectives and </w:t>
      </w:r>
      <w:r w:rsidRPr="00004ED1">
        <w:rPr>
          <w:rFonts w:ascii="Garamond" w:hAnsi="Garamond"/>
          <w:sz w:val="24"/>
          <w:szCs w:val="24"/>
          <w:lang w:val="en-US"/>
        </w:rPr>
        <w:t>addresses issues of how the</w:t>
      </w:r>
      <w:r w:rsidR="00810FB0" w:rsidRPr="00004ED1">
        <w:rPr>
          <w:rFonts w:ascii="Garamond" w:hAnsi="Garamond"/>
          <w:sz w:val="24"/>
          <w:szCs w:val="24"/>
          <w:lang w:val="en-US"/>
        </w:rPr>
        <w:t>y</w:t>
      </w:r>
      <w:r w:rsidRPr="00004ED1">
        <w:rPr>
          <w:rFonts w:ascii="Garamond" w:hAnsi="Garamond"/>
          <w:sz w:val="24"/>
          <w:szCs w:val="24"/>
          <w:lang w:val="en-US"/>
        </w:rPr>
        <w:t xml:space="preserve"> are defined</w:t>
      </w:r>
      <w:r w:rsidR="00810FB0" w:rsidRPr="00004ED1">
        <w:rPr>
          <w:rFonts w:ascii="Garamond" w:hAnsi="Garamond"/>
          <w:sz w:val="24"/>
          <w:szCs w:val="24"/>
          <w:lang w:val="en-US"/>
        </w:rPr>
        <w:t xml:space="preserve">. In that respect, an organization may well meet the agreed objectives –i.e. be effective - even when its overall performance is not very impressive. This may be an indication of low </w:t>
      </w:r>
      <w:r w:rsidR="008543D7" w:rsidRPr="00004ED1">
        <w:rPr>
          <w:rFonts w:ascii="Garamond" w:hAnsi="Garamond"/>
          <w:sz w:val="24"/>
          <w:szCs w:val="24"/>
          <w:lang w:val="en-US"/>
        </w:rPr>
        <w:t xml:space="preserve">organizational </w:t>
      </w:r>
      <w:r w:rsidR="00810FB0" w:rsidRPr="00004ED1">
        <w:rPr>
          <w:rFonts w:ascii="Garamond" w:hAnsi="Garamond"/>
          <w:sz w:val="24"/>
          <w:szCs w:val="24"/>
          <w:lang w:val="en-US"/>
        </w:rPr>
        <w:t>standards</w:t>
      </w:r>
      <w:r w:rsidR="008543D7" w:rsidRPr="00004ED1">
        <w:rPr>
          <w:rFonts w:ascii="Garamond" w:hAnsi="Garamond"/>
          <w:sz w:val="24"/>
          <w:szCs w:val="24"/>
          <w:lang w:val="en-US"/>
        </w:rPr>
        <w:t xml:space="preserve"> of success</w:t>
      </w:r>
      <w:r w:rsidR="00810FB0" w:rsidRPr="00004ED1">
        <w:rPr>
          <w:rFonts w:ascii="Garamond" w:hAnsi="Garamond"/>
          <w:sz w:val="24"/>
          <w:szCs w:val="24"/>
          <w:lang w:val="en-US"/>
        </w:rPr>
        <w:t xml:space="preserve">, lack of ambition, or </w:t>
      </w:r>
      <w:r w:rsidR="008543D7" w:rsidRPr="00004ED1">
        <w:rPr>
          <w:rFonts w:ascii="Garamond" w:hAnsi="Garamond"/>
          <w:sz w:val="24"/>
          <w:szCs w:val="24"/>
          <w:lang w:val="en-US"/>
        </w:rPr>
        <w:t xml:space="preserve">simply </w:t>
      </w:r>
      <w:r w:rsidR="00810FB0" w:rsidRPr="00004ED1">
        <w:rPr>
          <w:rFonts w:ascii="Garamond" w:hAnsi="Garamond"/>
          <w:sz w:val="24"/>
          <w:szCs w:val="24"/>
          <w:lang w:val="en-US"/>
        </w:rPr>
        <w:t xml:space="preserve">awareness of internal and external constraints that impede the organization from delivering on the </w:t>
      </w:r>
      <w:r w:rsidR="008543D7" w:rsidRPr="00004ED1">
        <w:rPr>
          <w:rFonts w:ascii="Garamond" w:hAnsi="Garamond"/>
          <w:sz w:val="24"/>
          <w:szCs w:val="24"/>
          <w:lang w:val="en-US"/>
        </w:rPr>
        <w:t xml:space="preserve">objectives. </w:t>
      </w:r>
      <w:r w:rsidR="00810FB0" w:rsidRPr="00004ED1">
        <w:rPr>
          <w:rFonts w:ascii="Garamond" w:hAnsi="Garamond"/>
          <w:sz w:val="24"/>
          <w:szCs w:val="24"/>
          <w:lang w:val="en-US"/>
        </w:rPr>
        <w:t>By the same token, a positive performance in terms of activation and engagement may not be judged effective because the original goals are very ambitious and difficult to achieve in the first place or are incongruent with the scarce organizational resources and its capacity to meet them</w:t>
      </w:r>
      <w:r w:rsidR="008543D7" w:rsidRPr="00004ED1">
        <w:rPr>
          <w:rFonts w:ascii="Garamond" w:hAnsi="Garamond"/>
          <w:sz w:val="24"/>
          <w:szCs w:val="24"/>
          <w:lang w:val="en-US"/>
        </w:rPr>
        <w:t xml:space="preserve"> (Gutner and Thompson 2010: 231-2).</w:t>
      </w:r>
      <w:r w:rsidR="00595639" w:rsidRPr="00004ED1">
        <w:rPr>
          <w:rFonts w:ascii="Garamond" w:hAnsi="Garamond"/>
          <w:sz w:val="24"/>
          <w:szCs w:val="24"/>
          <w:lang w:val="en-US"/>
        </w:rPr>
        <w:t xml:space="preserve"> At the EU context, this point invokes the well-spotted ‘capabilities-expectations gap’ that dominated a large part of the academic and policymaking analysis of the Common Foreign and Security Policy failures in the 1990s (Hill</w:t>
      </w:r>
      <w:r w:rsidR="00004ED1" w:rsidRPr="00004ED1">
        <w:rPr>
          <w:rFonts w:ascii="Garamond" w:hAnsi="Garamond"/>
          <w:sz w:val="24"/>
          <w:szCs w:val="24"/>
          <w:lang w:val="en-US"/>
        </w:rPr>
        <w:t xml:space="preserve"> 1998, 1993). </w:t>
      </w:r>
      <w:r w:rsidR="008543D7" w:rsidRPr="00004ED1">
        <w:rPr>
          <w:rFonts w:ascii="Garamond" w:hAnsi="Garamond"/>
          <w:sz w:val="24"/>
          <w:szCs w:val="24"/>
          <w:lang w:val="en-US"/>
        </w:rPr>
        <w:t xml:space="preserve">The implication is that effectiveness is only one possible indicator -among others- that can be used to evaluate the performance of an IO and that relying on effectiveness exclusively may be misleading regarding the international performance of </w:t>
      </w:r>
      <w:r w:rsidR="00065DBF">
        <w:rPr>
          <w:rFonts w:ascii="Garamond" w:hAnsi="Garamond"/>
          <w:sz w:val="24"/>
          <w:szCs w:val="24"/>
          <w:lang w:val="en-US"/>
        </w:rPr>
        <w:t xml:space="preserve">the EU </w:t>
      </w:r>
      <w:r w:rsidR="008543D7" w:rsidRPr="00004ED1">
        <w:rPr>
          <w:rFonts w:ascii="Garamond" w:hAnsi="Garamond"/>
          <w:sz w:val="24"/>
          <w:szCs w:val="24"/>
          <w:lang w:val="en-US"/>
        </w:rPr>
        <w:t>(</w:t>
      </w:r>
      <w:r w:rsidR="008543D7" w:rsidRPr="00004ED1">
        <w:rPr>
          <w:rStyle w:val="apple-style-span"/>
          <w:rFonts w:ascii="Garamond" w:hAnsi="Garamond" w:cs="Cambria"/>
          <w:sz w:val="24"/>
          <w:szCs w:val="24"/>
          <w:lang w:val="en-US"/>
        </w:rPr>
        <w:t>Jørgensen and Oberthür, 2011).</w:t>
      </w:r>
    </w:p>
    <w:p w14:paraId="411D5747" w14:textId="77777777" w:rsidR="00391644" w:rsidRDefault="00595639" w:rsidP="00053E62">
      <w:pPr>
        <w:ind w:right="-58"/>
        <w:jc w:val="both"/>
        <w:rPr>
          <w:rFonts w:ascii="Garamond" w:hAnsi="Garamond"/>
          <w:sz w:val="24"/>
          <w:szCs w:val="24"/>
          <w:lang w:val="en-US"/>
        </w:rPr>
      </w:pPr>
      <w:r w:rsidRPr="00004ED1">
        <w:rPr>
          <w:rFonts w:ascii="Garamond" w:hAnsi="Garamond"/>
          <w:sz w:val="24"/>
          <w:szCs w:val="24"/>
          <w:lang w:val="en-US"/>
        </w:rPr>
        <w:t>A second point to be made is that</w:t>
      </w:r>
      <w:r w:rsidR="00096DAB">
        <w:rPr>
          <w:rFonts w:ascii="Garamond" w:hAnsi="Garamond"/>
          <w:sz w:val="24"/>
          <w:szCs w:val="24"/>
          <w:lang w:val="en-US"/>
        </w:rPr>
        <w:t xml:space="preserve"> the</w:t>
      </w:r>
      <w:r w:rsidRPr="00004ED1">
        <w:rPr>
          <w:rFonts w:ascii="Garamond" w:hAnsi="Garamond"/>
          <w:sz w:val="24"/>
          <w:szCs w:val="24"/>
          <w:lang w:val="en-US"/>
        </w:rPr>
        <w:t xml:space="preserve"> </w:t>
      </w:r>
      <w:r w:rsidR="001E0C3D">
        <w:rPr>
          <w:rFonts w:ascii="Garamond" w:hAnsi="Garamond"/>
          <w:sz w:val="24"/>
          <w:szCs w:val="24"/>
          <w:lang w:val="en-US"/>
        </w:rPr>
        <w:t xml:space="preserve">performance of IOs </w:t>
      </w:r>
      <w:r w:rsidR="00096DAB">
        <w:rPr>
          <w:rFonts w:ascii="Garamond" w:hAnsi="Garamond"/>
          <w:sz w:val="24"/>
          <w:szCs w:val="24"/>
          <w:lang w:val="en-US"/>
        </w:rPr>
        <w:t xml:space="preserve">in general </w:t>
      </w:r>
      <w:r w:rsidR="001E0C3D">
        <w:rPr>
          <w:rFonts w:ascii="Garamond" w:hAnsi="Garamond"/>
          <w:sz w:val="24"/>
          <w:szCs w:val="24"/>
          <w:lang w:val="en-US"/>
        </w:rPr>
        <w:t>is extremely prone to the “eye of the beholder” problem, in the sense that the assessment depends a lot on the evaluator (</w:t>
      </w:r>
      <w:r w:rsidR="001E0C3D" w:rsidRPr="00004ED1">
        <w:rPr>
          <w:rFonts w:ascii="Garamond" w:hAnsi="Garamond"/>
          <w:sz w:val="24"/>
          <w:szCs w:val="24"/>
          <w:lang w:val="en-US"/>
        </w:rPr>
        <w:t>Gutner and Thompson 2010: 23</w:t>
      </w:r>
      <w:r w:rsidR="001E0C3D">
        <w:rPr>
          <w:rFonts w:ascii="Garamond" w:hAnsi="Garamond"/>
          <w:sz w:val="24"/>
          <w:szCs w:val="24"/>
          <w:lang w:val="en-US"/>
        </w:rPr>
        <w:t>3-4). Different stakeholders (i.e. members of the IO) may have different preferences and different perceptions of what the IO is about and what it should do in the world.</w:t>
      </w:r>
      <w:r w:rsidR="00805B35">
        <w:rPr>
          <w:rFonts w:ascii="Garamond" w:hAnsi="Garamond"/>
          <w:sz w:val="24"/>
          <w:szCs w:val="24"/>
          <w:lang w:val="en-US"/>
        </w:rPr>
        <w:t xml:space="preserve"> Given that the IOs usually serve multiple functions and have </w:t>
      </w:r>
      <w:r w:rsidR="009651A9">
        <w:rPr>
          <w:rFonts w:ascii="Garamond" w:hAnsi="Garamond"/>
          <w:sz w:val="24"/>
          <w:szCs w:val="24"/>
          <w:lang w:val="en-US"/>
        </w:rPr>
        <w:t xml:space="preserve">broad </w:t>
      </w:r>
      <w:r w:rsidR="00805B35">
        <w:rPr>
          <w:rFonts w:ascii="Garamond" w:hAnsi="Garamond"/>
          <w:sz w:val="24"/>
          <w:szCs w:val="24"/>
          <w:lang w:val="en-US"/>
        </w:rPr>
        <w:t xml:space="preserve">mandates that do not offer specific </w:t>
      </w:r>
      <w:r w:rsidR="009651A9">
        <w:rPr>
          <w:rFonts w:ascii="Garamond" w:hAnsi="Garamond"/>
          <w:sz w:val="24"/>
          <w:szCs w:val="24"/>
          <w:lang w:val="en-US"/>
        </w:rPr>
        <w:t xml:space="preserve">evaluation </w:t>
      </w:r>
      <w:r w:rsidR="00805B35">
        <w:rPr>
          <w:rFonts w:ascii="Garamond" w:hAnsi="Garamond"/>
          <w:sz w:val="24"/>
          <w:szCs w:val="24"/>
          <w:lang w:val="en-US"/>
        </w:rPr>
        <w:t>criteria</w:t>
      </w:r>
      <w:r w:rsidR="009651A9">
        <w:rPr>
          <w:rFonts w:ascii="Garamond" w:hAnsi="Garamond"/>
          <w:sz w:val="24"/>
          <w:szCs w:val="24"/>
          <w:lang w:val="en-US"/>
        </w:rPr>
        <w:t>, the constituent principals differ in what they consider success and failure. It might even be the case that a poorly-performing IO is desirable for some stakeholders, especially those that are dragged in a contractual agreement for setting up an IO by fear of exclusion without fully abiding to its rationale or guiding principles (Lipson 2010).</w:t>
      </w:r>
      <w:r w:rsidR="000A7DBD">
        <w:rPr>
          <w:rFonts w:ascii="Garamond" w:hAnsi="Garamond"/>
          <w:sz w:val="24"/>
          <w:szCs w:val="24"/>
          <w:lang w:val="en-US"/>
        </w:rPr>
        <w:t xml:space="preserve"> </w:t>
      </w:r>
      <w:r w:rsidR="001E0C3D">
        <w:rPr>
          <w:rFonts w:ascii="Garamond" w:hAnsi="Garamond"/>
          <w:sz w:val="24"/>
          <w:szCs w:val="24"/>
          <w:lang w:val="en-US"/>
        </w:rPr>
        <w:t xml:space="preserve">The same </w:t>
      </w:r>
      <w:r w:rsidR="009651A9">
        <w:rPr>
          <w:rFonts w:ascii="Garamond" w:hAnsi="Garamond"/>
          <w:sz w:val="24"/>
          <w:szCs w:val="24"/>
          <w:lang w:val="en-US"/>
        </w:rPr>
        <w:t xml:space="preserve">differentiation vis-à-vis performance </w:t>
      </w:r>
      <w:r w:rsidR="001E0C3D">
        <w:rPr>
          <w:rFonts w:ascii="Garamond" w:hAnsi="Garamond"/>
          <w:sz w:val="24"/>
          <w:szCs w:val="24"/>
          <w:lang w:val="en-US"/>
        </w:rPr>
        <w:t>holds for members and non-members of an IO, be that states, NGOs or other international actors.</w:t>
      </w:r>
      <w:r w:rsidR="009651A9">
        <w:rPr>
          <w:rFonts w:ascii="Garamond" w:hAnsi="Garamond"/>
          <w:sz w:val="24"/>
          <w:szCs w:val="24"/>
          <w:lang w:val="en-US"/>
        </w:rPr>
        <w:t xml:space="preserve"> This is again due to different perceptions (check, for example, the contradicting views of states and NGOs on the performance of the World Bank in tackling world poverty) or simply due to the awareness of the ‘insiders’ of the difficulties to overcome recalcitrant members and improve the IO performance.</w:t>
      </w:r>
      <w:r w:rsidR="00B369F2">
        <w:rPr>
          <w:rFonts w:ascii="Garamond" w:hAnsi="Garamond"/>
          <w:sz w:val="24"/>
          <w:szCs w:val="24"/>
          <w:lang w:val="en-US"/>
        </w:rPr>
        <w:t xml:space="preserve"> Both dimensions are relevant in the case of the EU: the heterogeneity of stakeholders</w:t>
      </w:r>
      <w:r w:rsidR="00065DBF">
        <w:rPr>
          <w:rFonts w:ascii="Garamond" w:hAnsi="Garamond"/>
          <w:sz w:val="24"/>
          <w:szCs w:val="24"/>
          <w:lang w:val="en-US"/>
        </w:rPr>
        <w:t xml:space="preserve"> (i.e. member-states)</w:t>
      </w:r>
      <w:r w:rsidR="009651A9">
        <w:rPr>
          <w:rFonts w:ascii="Garamond" w:hAnsi="Garamond"/>
          <w:sz w:val="24"/>
          <w:szCs w:val="24"/>
          <w:lang w:val="en-US"/>
        </w:rPr>
        <w:t xml:space="preserve"> </w:t>
      </w:r>
      <w:r w:rsidR="00B369F2">
        <w:rPr>
          <w:rFonts w:ascii="Garamond" w:hAnsi="Garamond"/>
          <w:sz w:val="24"/>
          <w:szCs w:val="24"/>
          <w:lang w:val="en-US"/>
        </w:rPr>
        <w:t xml:space="preserve">guarantees internal differentiation in the evaluation of its </w:t>
      </w:r>
      <w:r w:rsidR="00FF2836">
        <w:rPr>
          <w:rFonts w:ascii="Garamond" w:hAnsi="Garamond"/>
          <w:sz w:val="24"/>
          <w:szCs w:val="24"/>
          <w:lang w:val="en-US"/>
        </w:rPr>
        <w:t xml:space="preserve">goal attainment and </w:t>
      </w:r>
      <w:r w:rsidR="00B369F2">
        <w:rPr>
          <w:rFonts w:ascii="Garamond" w:hAnsi="Garamond"/>
          <w:sz w:val="24"/>
          <w:szCs w:val="24"/>
          <w:lang w:val="en-US"/>
        </w:rPr>
        <w:t xml:space="preserve">international performance. At the same time, widespread criticism may be voiced about the EU’s engagement in international affairs from outside the policymaking community </w:t>
      </w:r>
      <w:r w:rsidR="002A07A6">
        <w:rPr>
          <w:rFonts w:ascii="Garamond" w:hAnsi="Garamond"/>
          <w:sz w:val="24"/>
          <w:szCs w:val="24"/>
          <w:lang w:val="en-US"/>
        </w:rPr>
        <w:t xml:space="preserve">that </w:t>
      </w:r>
      <w:r w:rsidR="00B369F2">
        <w:rPr>
          <w:rFonts w:ascii="Garamond" w:hAnsi="Garamond"/>
          <w:sz w:val="24"/>
          <w:szCs w:val="24"/>
          <w:lang w:val="en-US"/>
        </w:rPr>
        <w:t>ignor</w:t>
      </w:r>
      <w:r w:rsidR="002A07A6">
        <w:rPr>
          <w:rFonts w:ascii="Garamond" w:hAnsi="Garamond"/>
          <w:sz w:val="24"/>
          <w:szCs w:val="24"/>
          <w:lang w:val="en-US"/>
        </w:rPr>
        <w:t>es</w:t>
      </w:r>
      <w:r w:rsidR="00B369F2">
        <w:rPr>
          <w:rFonts w:ascii="Garamond" w:hAnsi="Garamond"/>
          <w:sz w:val="24"/>
          <w:szCs w:val="24"/>
          <w:lang w:val="en-US"/>
        </w:rPr>
        <w:t xml:space="preserve"> the inherent difficulties of a multilateral order like the EU to </w:t>
      </w:r>
      <w:r w:rsidR="002A07A6">
        <w:rPr>
          <w:rFonts w:ascii="Garamond" w:hAnsi="Garamond"/>
          <w:sz w:val="24"/>
          <w:szCs w:val="24"/>
          <w:lang w:val="en-US"/>
        </w:rPr>
        <w:t>intersect with other such orders, most notably the UN (Laatikainen and Smith 2006: 19-22).</w:t>
      </w:r>
      <w:r w:rsidR="00B369F2">
        <w:rPr>
          <w:rFonts w:ascii="Garamond" w:hAnsi="Garamond"/>
          <w:sz w:val="24"/>
          <w:szCs w:val="24"/>
          <w:lang w:val="en-US"/>
        </w:rPr>
        <w:t xml:space="preserve"> </w:t>
      </w:r>
    </w:p>
    <w:p w14:paraId="1DAA09F3" w14:textId="77777777" w:rsidR="00993791" w:rsidRDefault="00993791" w:rsidP="00053E62">
      <w:pPr>
        <w:ind w:right="-58"/>
        <w:jc w:val="both"/>
        <w:rPr>
          <w:rFonts w:ascii="Garamond" w:hAnsi="Garamond"/>
          <w:sz w:val="24"/>
          <w:szCs w:val="24"/>
          <w:lang w:val="en-US"/>
        </w:rPr>
      </w:pPr>
      <w:r>
        <w:rPr>
          <w:rFonts w:ascii="Garamond" w:hAnsi="Garamond"/>
          <w:sz w:val="24"/>
          <w:szCs w:val="24"/>
          <w:lang w:val="en-US"/>
        </w:rPr>
        <w:lastRenderedPageBreak/>
        <w:t xml:space="preserve">The two points mentioned above suggest that the international performance of the EU, which constitutes in a positivist language the ‘dependent variable’ of our research, needs to be clarified as to what exactly we are trying to analyze and evaluate. This may sound a trivial question </w:t>
      </w:r>
      <w:r w:rsidR="00B12AFE">
        <w:rPr>
          <w:rFonts w:ascii="Garamond" w:hAnsi="Garamond"/>
          <w:sz w:val="24"/>
          <w:szCs w:val="24"/>
          <w:lang w:val="en-US"/>
        </w:rPr>
        <w:t xml:space="preserve">but it is not. It brings in the foreground two important issues: </w:t>
      </w:r>
      <w:r w:rsidR="00B12AFE" w:rsidRPr="00AA376D">
        <w:rPr>
          <w:rFonts w:ascii="Garamond" w:hAnsi="Garamond"/>
          <w:i/>
          <w:sz w:val="24"/>
          <w:szCs w:val="24"/>
          <w:lang w:val="en-US"/>
        </w:rPr>
        <w:t>focus</w:t>
      </w:r>
      <w:r w:rsidR="00B12AFE">
        <w:rPr>
          <w:rFonts w:ascii="Garamond" w:hAnsi="Garamond"/>
          <w:sz w:val="24"/>
          <w:szCs w:val="24"/>
          <w:lang w:val="en-US"/>
        </w:rPr>
        <w:t xml:space="preserve"> and </w:t>
      </w:r>
      <w:r w:rsidR="00B12AFE" w:rsidRPr="00AA376D">
        <w:rPr>
          <w:rFonts w:ascii="Garamond" w:hAnsi="Garamond"/>
          <w:i/>
          <w:sz w:val="24"/>
          <w:szCs w:val="24"/>
          <w:lang w:val="en-US"/>
        </w:rPr>
        <w:t>level of analysis</w:t>
      </w:r>
      <w:r w:rsidR="00B12AFE">
        <w:rPr>
          <w:rFonts w:ascii="Garamond" w:hAnsi="Garamond"/>
          <w:sz w:val="24"/>
          <w:szCs w:val="24"/>
          <w:lang w:val="en-US"/>
        </w:rPr>
        <w:t xml:space="preserve"> (Underdal </w:t>
      </w:r>
      <w:r w:rsidR="00360622">
        <w:rPr>
          <w:rFonts w:ascii="Garamond" w:hAnsi="Garamond"/>
          <w:sz w:val="24"/>
          <w:szCs w:val="24"/>
          <w:lang w:val="en-US"/>
        </w:rPr>
        <w:t>2002: 5-7</w:t>
      </w:r>
      <w:r w:rsidR="00B12AFE">
        <w:rPr>
          <w:rFonts w:ascii="Garamond" w:hAnsi="Garamond"/>
          <w:sz w:val="24"/>
          <w:szCs w:val="24"/>
          <w:lang w:val="en-US"/>
        </w:rPr>
        <w:t xml:space="preserve">). By focus, we refer to whether our object of analysis and evaluation is the external dimension of the EU </w:t>
      </w:r>
      <w:r w:rsidR="00B12AFE" w:rsidRPr="00B12AFE">
        <w:rPr>
          <w:rFonts w:ascii="Garamond" w:hAnsi="Garamond"/>
          <w:i/>
          <w:sz w:val="24"/>
          <w:szCs w:val="24"/>
          <w:lang w:val="en-US"/>
        </w:rPr>
        <w:t>per se</w:t>
      </w:r>
      <w:r w:rsidR="00B12AFE">
        <w:rPr>
          <w:rFonts w:ascii="Garamond" w:hAnsi="Garamond"/>
          <w:sz w:val="24"/>
          <w:szCs w:val="24"/>
          <w:lang w:val="en-US"/>
        </w:rPr>
        <w:t xml:space="preserve"> or whether we are taking into consideration before the final verdict any positive or negative side effects that may derive from the international activities of the EU. Even if performance may be found lagging behind expectations with occasionally impressive failures, international as well as intra-EU negotiations are more often than not continuous and/or repetitive games rather than one-off ones. This suggests a gradual buildup of learning and socialization processes that may have </w:t>
      </w:r>
      <w:r w:rsidR="00547EA3">
        <w:rPr>
          <w:rFonts w:ascii="Garamond" w:hAnsi="Garamond"/>
          <w:sz w:val="24"/>
          <w:szCs w:val="24"/>
          <w:lang w:val="en-US"/>
        </w:rPr>
        <w:t xml:space="preserve">a </w:t>
      </w:r>
      <w:r w:rsidR="00B12AFE">
        <w:rPr>
          <w:rFonts w:ascii="Garamond" w:hAnsi="Garamond"/>
          <w:sz w:val="24"/>
          <w:szCs w:val="24"/>
          <w:lang w:val="en-US"/>
        </w:rPr>
        <w:t xml:space="preserve">more </w:t>
      </w:r>
      <w:r w:rsidR="00AA376D">
        <w:rPr>
          <w:rFonts w:ascii="Garamond" w:hAnsi="Garamond"/>
          <w:sz w:val="24"/>
          <w:szCs w:val="24"/>
          <w:lang w:val="en-US"/>
        </w:rPr>
        <w:t xml:space="preserve">important and </w:t>
      </w:r>
      <w:r w:rsidR="00B12AFE">
        <w:rPr>
          <w:rFonts w:ascii="Garamond" w:hAnsi="Garamond"/>
          <w:sz w:val="24"/>
          <w:szCs w:val="24"/>
          <w:lang w:val="en-US"/>
        </w:rPr>
        <w:t xml:space="preserve">far reaching impact than </w:t>
      </w:r>
      <w:r w:rsidR="00547EA3">
        <w:rPr>
          <w:rFonts w:ascii="Garamond" w:hAnsi="Garamond"/>
          <w:sz w:val="24"/>
          <w:szCs w:val="24"/>
          <w:lang w:val="en-US"/>
        </w:rPr>
        <w:t xml:space="preserve">any </w:t>
      </w:r>
      <w:r w:rsidR="00B12AFE">
        <w:rPr>
          <w:rFonts w:ascii="Garamond" w:hAnsi="Garamond"/>
          <w:sz w:val="24"/>
          <w:szCs w:val="24"/>
          <w:lang w:val="en-US"/>
        </w:rPr>
        <w:t xml:space="preserve">formal </w:t>
      </w:r>
      <w:r w:rsidR="00360622">
        <w:rPr>
          <w:rFonts w:ascii="Garamond" w:hAnsi="Garamond"/>
          <w:sz w:val="24"/>
          <w:szCs w:val="24"/>
          <w:lang w:val="en-US"/>
        </w:rPr>
        <w:t xml:space="preserve">outcome of an EU initiative. </w:t>
      </w:r>
      <w:r w:rsidR="00360622" w:rsidRPr="00AA376D">
        <w:rPr>
          <w:rFonts w:ascii="Garamond" w:hAnsi="Garamond"/>
          <w:sz w:val="24"/>
          <w:szCs w:val="24"/>
          <w:lang w:val="en-US"/>
        </w:rPr>
        <w:t>Process-generated</w:t>
      </w:r>
      <w:r w:rsidR="00360622">
        <w:rPr>
          <w:rFonts w:ascii="Garamond" w:hAnsi="Garamond"/>
          <w:sz w:val="24"/>
          <w:szCs w:val="24"/>
          <w:lang w:val="en-US"/>
        </w:rPr>
        <w:t xml:space="preserve"> costs and benefits that derive from international engagement </w:t>
      </w:r>
      <w:r w:rsidR="005209BC">
        <w:rPr>
          <w:rFonts w:ascii="Garamond" w:hAnsi="Garamond"/>
          <w:sz w:val="24"/>
          <w:szCs w:val="24"/>
          <w:lang w:val="en-US"/>
        </w:rPr>
        <w:t xml:space="preserve">have a longer time horizon and </w:t>
      </w:r>
      <w:r w:rsidR="00360622">
        <w:rPr>
          <w:rFonts w:ascii="Garamond" w:hAnsi="Garamond"/>
          <w:sz w:val="24"/>
          <w:szCs w:val="24"/>
          <w:lang w:val="en-US"/>
        </w:rPr>
        <w:t>are more difficult to capture, let alone be integrated in any performance analysis of a short- to medium-term nature.</w:t>
      </w:r>
      <w:r w:rsidR="00B12AFE">
        <w:rPr>
          <w:rFonts w:ascii="Garamond" w:hAnsi="Garamond"/>
          <w:sz w:val="24"/>
          <w:szCs w:val="24"/>
          <w:lang w:val="en-US"/>
        </w:rPr>
        <w:t xml:space="preserve">      </w:t>
      </w:r>
    </w:p>
    <w:p w14:paraId="1F4C69E0" w14:textId="77777777" w:rsidR="007A0F4C" w:rsidRDefault="003C3644" w:rsidP="00053E62">
      <w:pPr>
        <w:ind w:right="-58"/>
        <w:jc w:val="both"/>
        <w:rPr>
          <w:rFonts w:ascii="Garamond" w:hAnsi="Garamond"/>
          <w:sz w:val="24"/>
          <w:szCs w:val="24"/>
          <w:lang w:val="en-US"/>
        </w:rPr>
      </w:pPr>
      <w:r>
        <w:rPr>
          <w:rFonts w:ascii="Garamond" w:hAnsi="Garamond"/>
          <w:sz w:val="24"/>
          <w:szCs w:val="24"/>
          <w:lang w:val="en-US"/>
        </w:rPr>
        <w:t>In terms of t</w:t>
      </w:r>
      <w:r w:rsidR="00B462CE">
        <w:rPr>
          <w:rFonts w:ascii="Garamond" w:hAnsi="Garamond"/>
          <w:sz w:val="24"/>
          <w:szCs w:val="24"/>
          <w:lang w:val="en-US"/>
        </w:rPr>
        <w:t>he level of analysis</w:t>
      </w:r>
      <w:r>
        <w:rPr>
          <w:rFonts w:ascii="Garamond" w:hAnsi="Garamond"/>
          <w:sz w:val="24"/>
          <w:szCs w:val="24"/>
          <w:lang w:val="en-US"/>
        </w:rPr>
        <w:t xml:space="preserve">, we can identify three different performance perspectives, looking at the </w:t>
      </w:r>
      <w:r w:rsidRPr="0005789C">
        <w:rPr>
          <w:rFonts w:ascii="Garamond" w:hAnsi="Garamond"/>
          <w:b/>
          <w:i/>
          <w:sz w:val="24"/>
          <w:szCs w:val="24"/>
          <w:lang w:val="en-US"/>
        </w:rPr>
        <w:t>output</w:t>
      </w:r>
      <w:r w:rsidRPr="0005789C">
        <w:rPr>
          <w:rFonts w:ascii="Garamond" w:hAnsi="Garamond"/>
          <w:b/>
          <w:sz w:val="24"/>
          <w:szCs w:val="24"/>
          <w:lang w:val="en-US"/>
        </w:rPr>
        <w:t xml:space="preserve">, </w:t>
      </w:r>
      <w:r w:rsidRPr="0005789C">
        <w:rPr>
          <w:rFonts w:ascii="Garamond" w:hAnsi="Garamond"/>
          <w:b/>
          <w:i/>
          <w:sz w:val="24"/>
          <w:szCs w:val="24"/>
          <w:lang w:val="en-US"/>
        </w:rPr>
        <w:t>outcome</w:t>
      </w:r>
      <w:r>
        <w:rPr>
          <w:rFonts w:ascii="Garamond" w:hAnsi="Garamond"/>
          <w:sz w:val="24"/>
          <w:szCs w:val="24"/>
          <w:lang w:val="en-US"/>
        </w:rPr>
        <w:t xml:space="preserve">, and </w:t>
      </w:r>
      <w:r w:rsidRPr="0005789C">
        <w:rPr>
          <w:rFonts w:ascii="Garamond" w:hAnsi="Garamond"/>
          <w:b/>
          <w:i/>
          <w:sz w:val="24"/>
          <w:szCs w:val="24"/>
          <w:lang w:val="en-US"/>
        </w:rPr>
        <w:t>impact</w:t>
      </w:r>
      <w:r>
        <w:rPr>
          <w:rFonts w:ascii="Garamond" w:hAnsi="Garamond"/>
          <w:sz w:val="24"/>
          <w:szCs w:val="24"/>
          <w:lang w:val="en-US"/>
        </w:rPr>
        <w:t xml:space="preserve"> of the EU international activities</w:t>
      </w:r>
      <w:r w:rsidR="00CB6DEE">
        <w:rPr>
          <w:rFonts w:ascii="Garamond" w:hAnsi="Garamond"/>
          <w:sz w:val="24"/>
          <w:szCs w:val="24"/>
          <w:lang w:val="en-US"/>
        </w:rPr>
        <w:t xml:space="preserve"> (see Table 1)</w:t>
      </w:r>
      <w:r>
        <w:rPr>
          <w:rFonts w:ascii="Garamond" w:hAnsi="Garamond"/>
          <w:sz w:val="24"/>
          <w:szCs w:val="24"/>
          <w:lang w:val="en-US"/>
        </w:rPr>
        <w:t>.</w:t>
      </w:r>
      <w:r w:rsidR="00B17B87">
        <w:rPr>
          <w:rFonts w:ascii="Garamond" w:hAnsi="Garamond"/>
          <w:sz w:val="24"/>
          <w:szCs w:val="24"/>
          <w:lang w:val="en-US"/>
        </w:rPr>
        <w:t xml:space="preserve"> Analytically, they constitute three distinctive steps in a causal chain of events</w:t>
      </w:r>
      <w:r w:rsidR="000C302B">
        <w:rPr>
          <w:rFonts w:ascii="Garamond" w:hAnsi="Garamond"/>
          <w:sz w:val="24"/>
          <w:szCs w:val="24"/>
          <w:lang w:val="en-US"/>
        </w:rPr>
        <w:t xml:space="preserve"> (Underdal 2002: 6).</w:t>
      </w:r>
      <w:r w:rsidR="00B17B87">
        <w:rPr>
          <w:rFonts w:ascii="Garamond" w:hAnsi="Garamond"/>
          <w:sz w:val="24"/>
          <w:szCs w:val="24"/>
          <w:lang w:val="en-US"/>
        </w:rPr>
        <w:t xml:space="preserve"> </w:t>
      </w:r>
      <w:r w:rsidR="006A26E5">
        <w:rPr>
          <w:rFonts w:ascii="Garamond" w:hAnsi="Garamond"/>
          <w:sz w:val="24"/>
          <w:szCs w:val="24"/>
          <w:lang w:val="en-US"/>
        </w:rPr>
        <w:t xml:space="preserve">At micro-level, the </w:t>
      </w:r>
      <w:r w:rsidR="006A26E5" w:rsidRPr="0005789C">
        <w:rPr>
          <w:rFonts w:ascii="Garamond" w:hAnsi="Garamond"/>
          <w:b/>
          <w:i/>
          <w:sz w:val="24"/>
          <w:szCs w:val="24"/>
          <w:lang w:val="en-US"/>
        </w:rPr>
        <w:t>o</w:t>
      </w:r>
      <w:r w:rsidRPr="0005789C">
        <w:rPr>
          <w:rFonts w:ascii="Garamond" w:hAnsi="Garamond"/>
          <w:b/>
          <w:i/>
          <w:sz w:val="24"/>
          <w:szCs w:val="24"/>
          <w:lang w:val="en-US"/>
        </w:rPr>
        <w:t>utput</w:t>
      </w:r>
      <w:r>
        <w:rPr>
          <w:rFonts w:ascii="Garamond" w:hAnsi="Garamond"/>
          <w:sz w:val="24"/>
          <w:szCs w:val="24"/>
          <w:lang w:val="en-US"/>
        </w:rPr>
        <w:t xml:space="preserve"> </w:t>
      </w:r>
      <w:r w:rsidR="006A26E5">
        <w:rPr>
          <w:rFonts w:ascii="Garamond" w:hAnsi="Garamond"/>
          <w:sz w:val="24"/>
          <w:szCs w:val="24"/>
          <w:lang w:val="en-US"/>
        </w:rPr>
        <w:t xml:space="preserve">perspective </w:t>
      </w:r>
      <w:r w:rsidR="00DA544B">
        <w:rPr>
          <w:rFonts w:ascii="Garamond" w:hAnsi="Garamond"/>
          <w:sz w:val="24"/>
          <w:szCs w:val="24"/>
          <w:lang w:val="en-US"/>
        </w:rPr>
        <w:t xml:space="preserve">is related </w:t>
      </w:r>
      <w:r>
        <w:rPr>
          <w:rFonts w:ascii="Garamond" w:hAnsi="Garamond"/>
          <w:sz w:val="24"/>
          <w:szCs w:val="24"/>
          <w:lang w:val="en-US"/>
        </w:rPr>
        <w:t xml:space="preserve">basically </w:t>
      </w:r>
      <w:r w:rsidR="00DA544B">
        <w:rPr>
          <w:rFonts w:ascii="Garamond" w:hAnsi="Garamond"/>
          <w:sz w:val="24"/>
          <w:szCs w:val="24"/>
          <w:lang w:val="en-US"/>
        </w:rPr>
        <w:t>with</w:t>
      </w:r>
      <w:r>
        <w:rPr>
          <w:rFonts w:ascii="Garamond" w:hAnsi="Garamond"/>
          <w:sz w:val="24"/>
          <w:szCs w:val="24"/>
          <w:lang w:val="en-US"/>
        </w:rPr>
        <w:t xml:space="preserve"> the intra-EU process of policy-formation</w:t>
      </w:r>
      <w:r w:rsidR="006A26E5">
        <w:rPr>
          <w:rFonts w:ascii="Garamond" w:hAnsi="Garamond"/>
          <w:sz w:val="24"/>
          <w:szCs w:val="24"/>
          <w:lang w:val="en-US"/>
        </w:rPr>
        <w:t>, focusing on the</w:t>
      </w:r>
      <w:r w:rsidR="0019179A">
        <w:rPr>
          <w:rFonts w:ascii="Garamond" w:hAnsi="Garamond"/>
          <w:sz w:val="24"/>
          <w:szCs w:val="24"/>
          <w:lang w:val="en-US"/>
        </w:rPr>
        <w:t xml:space="preserve"> </w:t>
      </w:r>
      <w:r w:rsidR="00DA544B">
        <w:rPr>
          <w:rFonts w:ascii="Garamond" w:hAnsi="Garamond"/>
          <w:sz w:val="24"/>
          <w:szCs w:val="24"/>
          <w:lang w:val="en-US"/>
        </w:rPr>
        <w:t xml:space="preserve">deliverables of </w:t>
      </w:r>
      <w:r w:rsidR="0019179A">
        <w:rPr>
          <w:rFonts w:ascii="Garamond" w:hAnsi="Garamond"/>
          <w:sz w:val="24"/>
          <w:szCs w:val="24"/>
          <w:lang w:val="en-US"/>
        </w:rPr>
        <w:t xml:space="preserve">internal political and institutional dynamics that inform the EU international engagement. This output could </w:t>
      </w:r>
      <w:r w:rsidR="00410A6B">
        <w:rPr>
          <w:rFonts w:ascii="Garamond" w:hAnsi="Garamond"/>
          <w:sz w:val="24"/>
          <w:szCs w:val="24"/>
          <w:lang w:val="en-US"/>
        </w:rPr>
        <w:t xml:space="preserve">be a formal </w:t>
      </w:r>
      <w:r w:rsidR="005F4C00">
        <w:rPr>
          <w:rFonts w:ascii="Garamond" w:hAnsi="Garamond"/>
          <w:sz w:val="24"/>
          <w:szCs w:val="24"/>
          <w:lang w:val="en-US"/>
        </w:rPr>
        <w:t xml:space="preserve">comprehensive </w:t>
      </w:r>
      <w:r w:rsidR="00410A6B">
        <w:rPr>
          <w:rFonts w:ascii="Garamond" w:hAnsi="Garamond"/>
          <w:sz w:val="24"/>
          <w:szCs w:val="24"/>
          <w:lang w:val="en-US"/>
        </w:rPr>
        <w:t>policy document outlining the EU positions in a fi</w:t>
      </w:r>
      <w:r w:rsidR="005F4C00">
        <w:rPr>
          <w:rFonts w:ascii="Garamond" w:hAnsi="Garamond"/>
          <w:sz w:val="24"/>
          <w:szCs w:val="24"/>
          <w:lang w:val="en-US"/>
        </w:rPr>
        <w:t>e</w:t>
      </w:r>
      <w:r w:rsidR="00410A6B">
        <w:rPr>
          <w:rFonts w:ascii="Garamond" w:hAnsi="Garamond"/>
          <w:sz w:val="24"/>
          <w:szCs w:val="24"/>
          <w:lang w:val="en-US"/>
        </w:rPr>
        <w:t xml:space="preserve">ld or in international affairs more broadly, like for example the European Security Strategy. Or it could be </w:t>
      </w:r>
      <w:r w:rsidR="005F4C00">
        <w:rPr>
          <w:rFonts w:ascii="Garamond" w:hAnsi="Garamond"/>
          <w:sz w:val="24"/>
          <w:szCs w:val="24"/>
          <w:lang w:val="en-US"/>
        </w:rPr>
        <w:t>very narrow-focused</w:t>
      </w:r>
      <w:r w:rsidR="00410A6B">
        <w:rPr>
          <w:rFonts w:ascii="Garamond" w:hAnsi="Garamond"/>
          <w:sz w:val="24"/>
          <w:szCs w:val="24"/>
          <w:lang w:val="en-US"/>
        </w:rPr>
        <w:t xml:space="preserve">, like a </w:t>
      </w:r>
      <w:r w:rsidR="005F4C00">
        <w:rPr>
          <w:rFonts w:ascii="Garamond" w:hAnsi="Garamond"/>
          <w:sz w:val="24"/>
          <w:szCs w:val="24"/>
          <w:lang w:val="en-US"/>
        </w:rPr>
        <w:t xml:space="preserve">statement </w:t>
      </w:r>
      <w:r w:rsidR="000E71A5">
        <w:rPr>
          <w:rFonts w:ascii="Garamond" w:hAnsi="Garamond"/>
          <w:sz w:val="24"/>
          <w:szCs w:val="24"/>
          <w:lang w:val="en-US"/>
        </w:rPr>
        <w:t xml:space="preserve">or a Council decision </w:t>
      </w:r>
      <w:r w:rsidR="005F4C00">
        <w:rPr>
          <w:rFonts w:ascii="Garamond" w:hAnsi="Garamond"/>
          <w:sz w:val="24"/>
          <w:szCs w:val="24"/>
          <w:lang w:val="en-US"/>
        </w:rPr>
        <w:t xml:space="preserve">on </w:t>
      </w:r>
      <w:r w:rsidR="00410A6B">
        <w:rPr>
          <w:rFonts w:ascii="Garamond" w:hAnsi="Garamond"/>
          <w:sz w:val="24"/>
          <w:szCs w:val="24"/>
          <w:lang w:val="en-US"/>
        </w:rPr>
        <w:t xml:space="preserve">an intended course of action in a </w:t>
      </w:r>
      <w:r w:rsidR="00DA544B">
        <w:rPr>
          <w:rFonts w:ascii="Garamond" w:hAnsi="Garamond"/>
          <w:sz w:val="24"/>
          <w:szCs w:val="24"/>
          <w:lang w:val="en-US"/>
        </w:rPr>
        <w:t>regional crisis</w:t>
      </w:r>
      <w:r w:rsidR="00410A6B">
        <w:rPr>
          <w:rFonts w:ascii="Garamond" w:hAnsi="Garamond"/>
          <w:sz w:val="24"/>
          <w:szCs w:val="24"/>
          <w:lang w:val="en-US"/>
        </w:rPr>
        <w:t xml:space="preserve">. It could also </w:t>
      </w:r>
      <w:r w:rsidR="0019179A">
        <w:rPr>
          <w:rFonts w:ascii="Garamond" w:hAnsi="Garamond"/>
          <w:sz w:val="24"/>
          <w:szCs w:val="24"/>
          <w:lang w:val="en-US"/>
        </w:rPr>
        <w:t xml:space="preserve">take </w:t>
      </w:r>
      <w:r w:rsidR="00410A6B">
        <w:rPr>
          <w:rFonts w:ascii="Garamond" w:hAnsi="Garamond"/>
          <w:sz w:val="24"/>
          <w:szCs w:val="24"/>
          <w:lang w:val="en-US"/>
        </w:rPr>
        <w:t xml:space="preserve">a more abstract </w:t>
      </w:r>
      <w:r w:rsidR="0019179A">
        <w:rPr>
          <w:rFonts w:ascii="Garamond" w:hAnsi="Garamond"/>
          <w:sz w:val="24"/>
          <w:szCs w:val="24"/>
          <w:lang w:val="en-US"/>
        </w:rPr>
        <w:t xml:space="preserve">form </w:t>
      </w:r>
      <w:r w:rsidR="00410A6B">
        <w:rPr>
          <w:rFonts w:ascii="Garamond" w:hAnsi="Garamond"/>
          <w:sz w:val="24"/>
          <w:szCs w:val="24"/>
          <w:lang w:val="en-US"/>
        </w:rPr>
        <w:t xml:space="preserve">in the sense of outlining </w:t>
      </w:r>
      <w:r w:rsidR="005F4C00">
        <w:rPr>
          <w:rFonts w:ascii="Garamond" w:hAnsi="Garamond"/>
          <w:sz w:val="24"/>
          <w:szCs w:val="24"/>
          <w:lang w:val="en-US"/>
        </w:rPr>
        <w:t xml:space="preserve">general </w:t>
      </w:r>
      <w:r w:rsidR="00410A6B">
        <w:rPr>
          <w:rFonts w:ascii="Garamond" w:hAnsi="Garamond"/>
          <w:sz w:val="24"/>
          <w:szCs w:val="24"/>
          <w:lang w:val="en-US"/>
        </w:rPr>
        <w:t>norms, principles and rules of action.</w:t>
      </w:r>
      <w:r w:rsidR="0019179A">
        <w:rPr>
          <w:rFonts w:ascii="Garamond" w:hAnsi="Garamond"/>
          <w:sz w:val="24"/>
          <w:szCs w:val="24"/>
          <w:lang w:val="en-US"/>
        </w:rPr>
        <w:t xml:space="preserve"> </w:t>
      </w:r>
      <w:r w:rsidR="00DA544B">
        <w:rPr>
          <w:rFonts w:ascii="Garamond" w:hAnsi="Garamond"/>
          <w:sz w:val="24"/>
          <w:szCs w:val="24"/>
          <w:lang w:val="en-US"/>
        </w:rPr>
        <w:t xml:space="preserve">In any case, it </w:t>
      </w:r>
      <w:r w:rsidR="0019179A">
        <w:rPr>
          <w:rFonts w:ascii="Garamond" w:hAnsi="Garamond"/>
          <w:sz w:val="24"/>
          <w:szCs w:val="24"/>
          <w:lang w:val="en-US"/>
        </w:rPr>
        <w:t>constitutes the starting point of the outcome and impact analysis and offers a benchmark for their assessment</w:t>
      </w:r>
      <w:r w:rsidR="00B17B87">
        <w:rPr>
          <w:rFonts w:ascii="Garamond" w:hAnsi="Garamond"/>
          <w:sz w:val="24"/>
          <w:szCs w:val="24"/>
          <w:lang w:val="en-US"/>
        </w:rPr>
        <w:t xml:space="preserve"> (Underdal 2002: 6)</w:t>
      </w:r>
      <w:r w:rsidR="0019179A">
        <w:rPr>
          <w:rFonts w:ascii="Garamond" w:hAnsi="Garamond"/>
          <w:sz w:val="24"/>
          <w:szCs w:val="24"/>
          <w:lang w:val="en-US"/>
        </w:rPr>
        <w:t xml:space="preserve">. </w:t>
      </w:r>
    </w:p>
    <w:p w14:paraId="51866B80" w14:textId="77777777" w:rsidR="000F3695" w:rsidRDefault="000F3695" w:rsidP="00053E62">
      <w:pPr>
        <w:ind w:right="-58"/>
        <w:jc w:val="both"/>
        <w:rPr>
          <w:rFonts w:ascii="Garamond" w:hAnsi="Garamond"/>
          <w:sz w:val="24"/>
          <w:szCs w:val="24"/>
          <w:lang w:val="en-US"/>
        </w:rPr>
      </w:pPr>
      <w:r>
        <w:rPr>
          <w:rFonts w:ascii="Garamond" w:hAnsi="Garamond"/>
          <w:sz w:val="24"/>
          <w:szCs w:val="24"/>
          <w:lang w:val="en-US"/>
        </w:rPr>
        <w:t xml:space="preserve">To play this </w:t>
      </w:r>
      <w:r w:rsidR="007A0F4C">
        <w:rPr>
          <w:rFonts w:ascii="Garamond" w:hAnsi="Garamond"/>
          <w:sz w:val="24"/>
          <w:szCs w:val="24"/>
          <w:lang w:val="en-US"/>
        </w:rPr>
        <w:t xml:space="preserve">benchmarking </w:t>
      </w:r>
      <w:r>
        <w:rPr>
          <w:rFonts w:ascii="Garamond" w:hAnsi="Garamond"/>
          <w:sz w:val="24"/>
          <w:szCs w:val="24"/>
          <w:lang w:val="en-US"/>
        </w:rPr>
        <w:t xml:space="preserve">role, we first need to examine whether the </w:t>
      </w:r>
      <w:r w:rsidR="00D6421B">
        <w:rPr>
          <w:rFonts w:ascii="Garamond" w:hAnsi="Garamond"/>
          <w:sz w:val="24"/>
          <w:szCs w:val="24"/>
          <w:lang w:val="en-US"/>
        </w:rPr>
        <w:t xml:space="preserve">internal policymaking </w:t>
      </w:r>
      <w:r>
        <w:rPr>
          <w:rFonts w:ascii="Garamond" w:hAnsi="Garamond"/>
          <w:sz w:val="24"/>
          <w:szCs w:val="24"/>
          <w:lang w:val="en-US"/>
        </w:rPr>
        <w:t xml:space="preserve">process is effective, in other words whether there is a collective output to start with. Obviously, this is a </w:t>
      </w:r>
      <w:r w:rsidRPr="000F3695">
        <w:rPr>
          <w:rFonts w:ascii="Garamond" w:hAnsi="Garamond"/>
          <w:i/>
          <w:sz w:val="24"/>
          <w:szCs w:val="24"/>
          <w:lang w:val="en-US"/>
        </w:rPr>
        <w:t>sine qua non</w:t>
      </w:r>
      <w:r>
        <w:rPr>
          <w:rFonts w:ascii="Garamond" w:hAnsi="Garamond"/>
          <w:sz w:val="24"/>
          <w:szCs w:val="24"/>
          <w:lang w:val="en-US"/>
        </w:rPr>
        <w:t xml:space="preserve"> condition, in the sense that without an output it is very difficult to make a case about performance</w:t>
      </w:r>
      <w:r w:rsidR="00065DBF">
        <w:rPr>
          <w:rFonts w:ascii="Garamond" w:hAnsi="Garamond"/>
          <w:sz w:val="24"/>
          <w:szCs w:val="24"/>
          <w:lang w:val="en-US"/>
        </w:rPr>
        <w:t xml:space="preserve"> at all</w:t>
      </w:r>
      <w:r>
        <w:rPr>
          <w:rFonts w:ascii="Garamond" w:hAnsi="Garamond"/>
          <w:sz w:val="24"/>
          <w:szCs w:val="24"/>
          <w:lang w:val="en-US"/>
        </w:rPr>
        <w:t>.</w:t>
      </w:r>
      <w:r w:rsidR="007A0F4C">
        <w:rPr>
          <w:rFonts w:ascii="Garamond" w:hAnsi="Garamond"/>
          <w:sz w:val="24"/>
          <w:szCs w:val="24"/>
          <w:lang w:val="en-US"/>
        </w:rPr>
        <w:t xml:space="preserve"> </w:t>
      </w:r>
      <w:r w:rsidR="00B17B87" w:rsidRPr="00FD0870">
        <w:rPr>
          <w:rFonts w:ascii="Garamond" w:hAnsi="Garamond"/>
          <w:sz w:val="24"/>
          <w:szCs w:val="24"/>
          <w:lang w:val="en-US"/>
        </w:rPr>
        <w:t>Once there is an output</w:t>
      </w:r>
      <w:r w:rsidRPr="00FD0870">
        <w:rPr>
          <w:rFonts w:ascii="Garamond" w:hAnsi="Garamond"/>
          <w:sz w:val="24"/>
          <w:szCs w:val="24"/>
          <w:lang w:val="en-US"/>
        </w:rPr>
        <w:t>,</w:t>
      </w:r>
      <w:r w:rsidR="00B17B87" w:rsidRPr="00FD0870">
        <w:rPr>
          <w:rFonts w:ascii="Garamond" w:hAnsi="Garamond"/>
          <w:sz w:val="24"/>
          <w:szCs w:val="24"/>
          <w:lang w:val="en-US"/>
        </w:rPr>
        <w:t xml:space="preserve"> </w:t>
      </w:r>
      <w:r w:rsidR="000C302B" w:rsidRPr="00FD0870">
        <w:rPr>
          <w:rFonts w:ascii="Garamond" w:hAnsi="Garamond"/>
          <w:sz w:val="24"/>
          <w:szCs w:val="24"/>
          <w:lang w:val="en-US"/>
        </w:rPr>
        <w:t>performance indicators comprise clarity, meaningfulness</w:t>
      </w:r>
      <w:r w:rsidR="00122B43">
        <w:rPr>
          <w:rFonts w:ascii="Garamond" w:hAnsi="Garamond"/>
          <w:sz w:val="24"/>
          <w:szCs w:val="24"/>
          <w:lang w:val="en-US"/>
        </w:rPr>
        <w:t>,</w:t>
      </w:r>
      <w:r w:rsidR="000C302B" w:rsidRPr="00FD0870">
        <w:rPr>
          <w:rFonts w:ascii="Garamond" w:hAnsi="Garamond"/>
          <w:sz w:val="24"/>
          <w:szCs w:val="24"/>
          <w:lang w:val="en-US"/>
        </w:rPr>
        <w:t xml:space="preserve"> relevance</w:t>
      </w:r>
      <w:r w:rsidR="00122B43">
        <w:rPr>
          <w:rFonts w:ascii="Garamond" w:hAnsi="Garamond"/>
          <w:sz w:val="24"/>
          <w:szCs w:val="24"/>
          <w:lang w:val="en-US"/>
        </w:rPr>
        <w:t xml:space="preserve"> to the stakeholders</w:t>
      </w:r>
      <w:r w:rsidR="000C302B" w:rsidRPr="00FD0870">
        <w:rPr>
          <w:rFonts w:ascii="Garamond" w:hAnsi="Garamond"/>
          <w:sz w:val="24"/>
          <w:szCs w:val="24"/>
          <w:lang w:val="en-US"/>
        </w:rPr>
        <w:t xml:space="preserve">, </w:t>
      </w:r>
      <w:r w:rsidR="00122B43">
        <w:rPr>
          <w:rFonts w:ascii="Garamond" w:hAnsi="Garamond"/>
          <w:sz w:val="24"/>
          <w:szCs w:val="24"/>
          <w:lang w:val="en-US"/>
        </w:rPr>
        <w:t xml:space="preserve">and </w:t>
      </w:r>
      <w:r w:rsidR="000C302B" w:rsidRPr="00FD0870">
        <w:rPr>
          <w:rFonts w:ascii="Garamond" w:hAnsi="Garamond"/>
          <w:sz w:val="24"/>
          <w:szCs w:val="24"/>
          <w:lang w:val="en-US"/>
        </w:rPr>
        <w:t>inclusiveness</w:t>
      </w:r>
      <w:r w:rsidR="007A0F4C" w:rsidRPr="00FD0870">
        <w:rPr>
          <w:rFonts w:ascii="Garamond" w:hAnsi="Garamond"/>
          <w:sz w:val="24"/>
          <w:szCs w:val="24"/>
          <w:lang w:val="en-US"/>
        </w:rPr>
        <w:t>.</w:t>
      </w:r>
      <w:r w:rsidR="00D25BCC">
        <w:rPr>
          <w:rFonts w:ascii="Garamond" w:hAnsi="Garamond"/>
          <w:sz w:val="24"/>
          <w:szCs w:val="24"/>
          <w:lang w:val="en-US"/>
        </w:rPr>
        <w:t xml:space="preserve"> In general, all </w:t>
      </w:r>
      <w:r w:rsidR="00912B3A">
        <w:rPr>
          <w:rFonts w:ascii="Garamond" w:hAnsi="Garamond"/>
          <w:sz w:val="24"/>
          <w:szCs w:val="24"/>
          <w:lang w:val="en-US"/>
        </w:rPr>
        <w:t xml:space="preserve">four </w:t>
      </w:r>
      <w:r w:rsidR="00D25BCC">
        <w:rPr>
          <w:rFonts w:ascii="Garamond" w:hAnsi="Garamond"/>
          <w:sz w:val="24"/>
          <w:szCs w:val="24"/>
          <w:lang w:val="en-US"/>
        </w:rPr>
        <w:t>indicators have a positive relationship with output performance</w:t>
      </w:r>
      <w:r w:rsidR="007A0F4C" w:rsidRPr="00FD0870">
        <w:rPr>
          <w:rFonts w:ascii="Garamond" w:hAnsi="Garamond"/>
          <w:sz w:val="24"/>
          <w:szCs w:val="24"/>
          <w:lang w:val="en-US"/>
        </w:rPr>
        <w:t xml:space="preserve"> </w:t>
      </w:r>
      <w:r w:rsidR="00D25BCC">
        <w:rPr>
          <w:rFonts w:ascii="Garamond" w:hAnsi="Garamond"/>
          <w:sz w:val="24"/>
          <w:szCs w:val="24"/>
          <w:lang w:val="en-US"/>
        </w:rPr>
        <w:t xml:space="preserve">and increase performance perspectives also vis-à-vis the outcome and impact ones. The common intervening variable through which this positive relationship materializes is the </w:t>
      </w:r>
      <w:r w:rsidR="00122B43">
        <w:rPr>
          <w:rFonts w:ascii="Garamond" w:hAnsi="Garamond"/>
          <w:sz w:val="24"/>
          <w:szCs w:val="24"/>
          <w:lang w:val="en-US"/>
        </w:rPr>
        <w:t>underlying and implicit policy convergence among EU member-states that paves the way for cohesive action and in that respect increases the outcome and impact potential of EU international activities.</w:t>
      </w:r>
      <w:r w:rsidR="00D25BCC">
        <w:rPr>
          <w:rFonts w:ascii="Garamond" w:hAnsi="Garamond"/>
          <w:sz w:val="24"/>
          <w:szCs w:val="24"/>
          <w:lang w:val="en-US"/>
        </w:rPr>
        <w:t xml:space="preserve"> Output clarity </w:t>
      </w:r>
      <w:r w:rsidR="00122B43">
        <w:rPr>
          <w:rFonts w:ascii="Garamond" w:hAnsi="Garamond"/>
          <w:sz w:val="24"/>
          <w:szCs w:val="24"/>
          <w:lang w:val="en-US"/>
        </w:rPr>
        <w:t xml:space="preserve">suggests that EU member-states have a clear view on what needs to or can be done and how to do it. </w:t>
      </w:r>
      <w:r w:rsidR="00D25BCC">
        <w:rPr>
          <w:rFonts w:ascii="Garamond" w:hAnsi="Garamond"/>
          <w:sz w:val="24"/>
          <w:szCs w:val="24"/>
          <w:lang w:val="en-US"/>
        </w:rPr>
        <w:t>Meaningfulness and relevance reflect the degree of EU responsiveness to the issue in question</w:t>
      </w:r>
      <w:r w:rsidR="00122B43">
        <w:rPr>
          <w:rFonts w:ascii="Garamond" w:hAnsi="Garamond"/>
          <w:sz w:val="24"/>
          <w:szCs w:val="24"/>
          <w:lang w:val="en-US"/>
        </w:rPr>
        <w:t xml:space="preserve">. Meaningful outputs entail an EU response fine-tuned with the actual problem (consider, for example, how meaningful is an EU decision to send </w:t>
      </w:r>
      <w:r w:rsidR="00D6421B">
        <w:rPr>
          <w:rFonts w:ascii="Garamond" w:hAnsi="Garamond"/>
          <w:sz w:val="24"/>
          <w:szCs w:val="24"/>
          <w:lang w:val="en-US"/>
        </w:rPr>
        <w:t xml:space="preserve">special envoys in a fact </w:t>
      </w:r>
      <w:r w:rsidR="00D6421B">
        <w:rPr>
          <w:rFonts w:ascii="Garamond" w:hAnsi="Garamond"/>
          <w:sz w:val="24"/>
          <w:szCs w:val="24"/>
          <w:lang w:val="en-US"/>
        </w:rPr>
        <w:lastRenderedPageBreak/>
        <w:t xml:space="preserve">finding mission or to </w:t>
      </w:r>
      <w:r w:rsidR="00122B43">
        <w:rPr>
          <w:rFonts w:ascii="Garamond" w:hAnsi="Garamond"/>
          <w:sz w:val="24"/>
          <w:szCs w:val="24"/>
          <w:lang w:val="en-US"/>
        </w:rPr>
        <w:t xml:space="preserve">monitor </w:t>
      </w:r>
      <w:r w:rsidR="00D6421B">
        <w:rPr>
          <w:rFonts w:ascii="Garamond" w:hAnsi="Garamond"/>
          <w:sz w:val="24"/>
          <w:szCs w:val="24"/>
          <w:lang w:val="en-US"/>
        </w:rPr>
        <w:t xml:space="preserve">the escalation of a regional </w:t>
      </w:r>
      <w:r w:rsidR="00122B43">
        <w:rPr>
          <w:rFonts w:ascii="Garamond" w:hAnsi="Garamond"/>
          <w:sz w:val="24"/>
          <w:szCs w:val="24"/>
          <w:lang w:val="en-US"/>
        </w:rPr>
        <w:t xml:space="preserve">crisis when ethnic cleansing is in process). </w:t>
      </w:r>
      <w:r w:rsidR="00912B3A">
        <w:rPr>
          <w:rFonts w:ascii="Garamond" w:hAnsi="Garamond"/>
          <w:sz w:val="24"/>
          <w:szCs w:val="24"/>
          <w:lang w:val="en-US"/>
        </w:rPr>
        <w:t xml:space="preserve">Both for the clarity and meaningfulness indicators, an output can be deliberately blunt or hazy just for the EU to save face and mask the underlying differences among member-states. </w:t>
      </w:r>
      <w:r w:rsidR="00122B43">
        <w:rPr>
          <w:rFonts w:ascii="Garamond" w:hAnsi="Garamond"/>
          <w:sz w:val="24"/>
          <w:szCs w:val="24"/>
          <w:lang w:val="en-US"/>
        </w:rPr>
        <w:t xml:space="preserve">Relevant to the EU member-states outputs curtail </w:t>
      </w:r>
      <w:r w:rsidR="00912B3A">
        <w:rPr>
          <w:rFonts w:ascii="Garamond" w:hAnsi="Garamond"/>
          <w:sz w:val="24"/>
          <w:szCs w:val="24"/>
          <w:lang w:val="en-US"/>
        </w:rPr>
        <w:t xml:space="preserve">member-states’ autonomous action when they think the EU fails to respond appropriately to an international development. Finally, inclusiveness is linked with relevance and ensures the synthesis of divergent views rather than the marginalization and alienation of stake-holders.  </w:t>
      </w:r>
    </w:p>
    <w:p w14:paraId="2CD6DF06" w14:textId="77777777" w:rsidR="001E7370" w:rsidRDefault="00065DBF" w:rsidP="00053E62">
      <w:pPr>
        <w:ind w:right="-58"/>
        <w:jc w:val="both"/>
        <w:rPr>
          <w:rFonts w:ascii="Garamond" w:hAnsi="Garamond"/>
          <w:sz w:val="24"/>
          <w:szCs w:val="24"/>
          <w:lang w:val="en-US"/>
        </w:rPr>
      </w:pPr>
      <w:r>
        <w:rPr>
          <w:rFonts w:ascii="Garamond" w:hAnsi="Garamond"/>
          <w:sz w:val="24"/>
          <w:szCs w:val="24"/>
          <w:lang w:val="en-US"/>
        </w:rPr>
        <w:t>At meso-level, t</w:t>
      </w:r>
      <w:r w:rsidR="000C302B">
        <w:rPr>
          <w:rFonts w:ascii="Garamond" w:hAnsi="Garamond"/>
          <w:sz w:val="24"/>
          <w:szCs w:val="24"/>
          <w:lang w:val="en-US"/>
        </w:rPr>
        <w:t xml:space="preserve">he </w:t>
      </w:r>
      <w:r w:rsidR="000C302B" w:rsidRPr="0005789C">
        <w:rPr>
          <w:rFonts w:ascii="Garamond" w:hAnsi="Garamond"/>
          <w:b/>
          <w:i/>
          <w:sz w:val="24"/>
          <w:szCs w:val="24"/>
          <w:lang w:val="en-US"/>
        </w:rPr>
        <w:t>outcome</w:t>
      </w:r>
      <w:r w:rsidR="000C302B">
        <w:rPr>
          <w:rFonts w:ascii="Garamond" w:hAnsi="Garamond"/>
          <w:sz w:val="24"/>
          <w:szCs w:val="24"/>
          <w:lang w:val="en-US"/>
        </w:rPr>
        <w:t xml:space="preserve"> perspective shifts attention to the implementation of the</w:t>
      </w:r>
      <w:r w:rsidR="000A3428">
        <w:rPr>
          <w:rFonts w:ascii="Garamond" w:hAnsi="Garamond"/>
          <w:sz w:val="24"/>
          <w:szCs w:val="24"/>
          <w:lang w:val="en-US"/>
        </w:rPr>
        <w:t xml:space="preserve"> </w:t>
      </w:r>
      <w:r w:rsidR="000C302B">
        <w:rPr>
          <w:rFonts w:ascii="Garamond" w:hAnsi="Garamond"/>
          <w:sz w:val="24"/>
          <w:szCs w:val="24"/>
          <w:lang w:val="en-US"/>
        </w:rPr>
        <w:t xml:space="preserve">output and the </w:t>
      </w:r>
      <w:r w:rsidR="00975A21">
        <w:rPr>
          <w:rFonts w:ascii="Garamond" w:hAnsi="Garamond"/>
          <w:sz w:val="24"/>
          <w:szCs w:val="24"/>
          <w:lang w:val="en-US"/>
        </w:rPr>
        <w:t xml:space="preserve">deriving </w:t>
      </w:r>
      <w:r w:rsidR="000C302B">
        <w:rPr>
          <w:rFonts w:ascii="Garamond" w:hAnsi="Garamond"/>
          <w:sz w:val="24"/>
          <w:szCs w:val="24"/>
          <w:lang w:val="en-US"/>
        </w:rPr>
        <w:t>behavioral ad</w:t>
      </w:r>
      <w:r w:rsidR="00975A21">
        <w:rPr>
          <w:rFonts w:ascii="Garamond" w:hAnsi="Garamond"/>
          <w:sz w:val="24"/>
          <w:szCs w:val="24"/>
          <w:lang w:val="en-US"/>
        </w:rPr>
        <w:t xml:space="preserve">justment </w:t>
      </w:r>
      <w:r w:rsidR="000C302B">
        <w:rPr>
          <w:rFonts w:ascii="Garamond" w:hAnsi="Garamond"/>
          <w:sz w:val="24"/>
          <w:szCs w:val="24"/>
          <w:lang w:val="en-US"/>
        </w:rPr>
        <w:t xml:space="preserve">of the EU. </w:t>
      </w:r>
      <w:r w:rsidR="00975A21">
        <w:rPr>
          <w:rFonts w:ascii="Garamond" w:hAnsi="Garamond"/>
          <w:sz w:val="24"/>
          <w:szCs w:val="24"/>
          <w:lang w:val="en-US"/>
        </w:rPr>
        <w:t>I</w:t>
      </w:r>
      <w:r w:rsidR="00CA246D">
        <w:rPr>
          <w:rFonts w:ascii="Garamond" w:hAnsi="Garamond"/>
          <w:sz w:val="24"/>
          <w:szCs w:val="24"/>
          <w:lang w:val="en-US"/>
        </w:rPr>
        <w:t xml:space="preserve">t </w:t>
      </w:r>
      <w:r w:rsidR="000C302B">
        <w:rPr>
          <w:rFonts w:ascii="Garamond" w:hAnsi="Garamond"/>
          <w:sz w:val="24"/>
          <w:szCs w:val="24"/>
          <w:lang w:val="en-US"/>
        </w:rPr>
        <w:t xml:space="preserve">refers to the EU international activation along the output lines and captures how the EU takes this output to the international level. </w:t>
      </w:r>
      <w:r w:rsidR="00975A21">
        <w:rPr>
          <w:rFonts w:ascii="Garamond" w:hAnsi="Garamond"/>
          <w:sz w:val="24"/>
          <w:szCs w:val="24"/>
          <w:lang w:val="en-US"/>
        </w:rPr>
        <w:t xml:space="preserve">It </w:t>
      </w:r>
      <w:r>
        <w:rPr>
          <w:rFonts w:ascii="Garamond" w:hAnsi="Garamond"/>
          <w:sz w:val="24"/>
          <w:szCs w:val="24"/>
          <w:lang w:val="en-US"/>
        </w:rPr>
        <w:t xml:space="preserve">may take the form of </w:t>
      </w:r>
      <w:r w:rsidR="00975A21">
        <w:rPr>
          <w:rFonts w:ascii="Garamond" w:hAnsi="Garamond"/>
          <w:sz w:val="24"/>
          <w:szCs w:val="24"/>
          <w:lang w:val="en-US"/>
        </w:rPr>
        <w:t>active international engagement (diplomatic, economic, military) in pursuit of a given objective</w:t>
      </w:r>
      <w:r w:rsidR="00107D41">
        <w:rPr>
          <w:rFonts w:ascii="Garamond" w:hAnsi="Garamond"/>
          <w:sz w:val="24"/>
          <w:szCs w:val="24"/>
          <w:lang w:val="en-US"/>
        </w:rPr>
        <w:t>, like the handling of a regional security crisis or the combatting of an identified security threat, like the proliferation of arms of mass destruction.</w:t>
      </w:r>
      <w:r w:rsidR="00975A21">
        <w:rPr>
          <w:rFonts w:ascii="Garamond" w:hAnsi="Garamond"/>
          <w:sz w:val="24"/>
          <w:szCs w:val="24"/>
          <w:lang w:val="en-US"/>
        </w:rPr>
        <w:t xml:space="preserve"> </w:t>
      </w:r>
      <w:r w:rsidR="00107D41">
        <w:rPr>
          <w:rFonts w:ascii="Garamond" w:hAnsi="Garamond"/>
          <w:sz w:val="24"/>
          <w:szCs w:val="24"/>
          <w:lang w:val="en-US"/>
        </w:rPr>
        <w:t xml:space="preserve">Additionally, it may comprise initiatives of creating new </w:t>
      </w:r>
      <w:r w:rsidR="00756894">
        <w:rPr>
          <w:rFonts w:ascii="Garamond" w:hAnsi="Garamond"/>
          <w:sz w:val="24"/>
          <w:szCs w:val="24"/>
          <w:lang w:val="en-US"/>
        </w:rPr>
        <w:t xml:space="preserve">or adjusting existing </w:t>
      </w:r>
      <w:r w:rsidR="00107D41">
        <w:rPr>
          <w:rFonts w:ascii="Garamond" w:hAnsi="Garamond"/>
          <w:sz w:val="24"/>
          <w:szCs w:val="24"/>
          <w:lang w:val="en-US"/>
        </w:rPr>
        <w:t xml:space="preserve">international </w:t>
      </w:r>
      <w:r w:rsidR="00756894">
        <w:rPr>
          <w:rFonts w:ascii="Garamond" w:hAnsi="Garamond"/>
          <w:sz w:val="24"/>
          <w:szCs w:val="24"/>
          <w:lang w:val="en-US"/>
        </w:rPr>
        <w:t xml:space="preserve">policy </w:t>
      </w:r>
      <w:r w:rsidR="00107D41">
        <w:rPr>
          <w:rFonts w:ascii="Garamond" w:hAnsi="Garamond"/>
          <w:sz w:val="24"/>
          <w:szCs w:val="24"/>
          <w:lang w:val="en-US"/>
        </w:rPr>
        <w:t>order</w:t>
      </w:r>
      <w:r w:rsidR="00756894">
        <w:rPr>
          <w:rFonts w:ascii="Garamond" w:hAnsi="Garamond"/>
          <w:sz w:val="24"/>
          <w:szCs w:val="24"/>
          <w:lang w:val="en-US"/>
        </w:rPr>
        <w:t>s,</w:t>
      </w:r>
      <w:r w:rsidR="00975A21">
        <w:rPr>
          <w:rFonts w:ascii="Garamond" w:hAnsi="Garamond"/>
          <w:sz w:val="24"/>
          <w:szCs w:val="24"/>
          <w:lang w:val="en-US"/>
        </w:rPr>
        <w:t xml:space="preserve"> </w:t>
      </w:r>
      <w:r w:rsidR="00107D41">
        <w:rPr>
          <w:rFonts w:ascii="Garamond" w:hAnsi="Garamond"/>
          <w:sz w:val="24"/>
          <w:szCs w:val="24"/>
          <w:lang w:val="en-US"/>
        </w:rPr>
        <w:t>in congruence with the EU norms</w:t>
      </w:r>
      <w:r w:rsidR="00756894">
        <w:rPr>
          <w:rFonts w:ascii="Garamond" w:hAnsi="Garamond"/>
          <w:sz w:val="24"/>
          <w:szCs w:val="24"/>
          <w:lang w:val="en-US"/>
        </w:rPr>
        <w:t xml:space="preserve">, </w:t>
      </w:r>
      <w:r w:rsidR="00107D41">
        <w:rPr>
          <w:rFonts w:ascii="Garamond" w:hAnsi="Garamond"/>
          <w:sz w:val="24"/>
          <w:szCs w:val="24"/>
          <w:lang w:val="en-US"/>
        </w:rPr>
        <w:t>principles</w:t>
      </w:r>
      <w:r w:rsidR="00756894">
        <w:rPr>
          <w:rFonts w:ascii="Garamond" w:hAnsi="Garamond"/>
          <w:sz w:val="24"/>
          <w:szCs w:val="24"/>
          <w:lang w:val="en-US"/>
        </w:rPr>
        <w:t xml:space="preserve"> and interests</w:t>
      </w:r>
      <w:r w:rsidR="00107D41">
        <w:rPr>
          <w:rFonts w:ascii="Garamond" w:hAnsi="Garamond"/>
          <w:sz w:val="24"/>
          <w:szCs w:val="24"/>
          <w:lang w:val="en-US"/>
        </w:rPr>
        <w:t>, by contributing to the building up or reforming of international organizations</w:t>
      </w:r>
      <w:r w:rsidR="00756894">
        <w:rPr>
          <w:rFonts w:ascii="Garamond" w:hAnsi="Garamond"/>
          <w:sz w:val="24"/>
          <w:szCs w:val="24"/>
          <w:lang w:val="en-US"/>
        </w:rPr>
        <w:t xml:space="preserve"> (cf. Young 1999)</w:t>
      </w:r>
      <w:r w:rsidR="00107D41">
        <w:rPr>
          <w:rFonts w:ascii="Garamond" w:hAnsi="Garamond"/>
          <w:sz w:val="24"/>
          <w:szCs w:val="24"/>
          <w:lang w:val="en-US"/>
        </w:rPr>
        <w:t>.</w:t>
      </w:r>
      <w:r w:rsidR="00A7500B">
        <w:rPr>
          <w:rFonts w:ascii="Garamond" w:hAnsi="Garamond"/>
          <w:sz w:val="24"/>
          <w:szCs w:val="24"/>
          <w:lang w:val="en-US"/>
        </w:rPr>
        <w:t xml:space="preserve"> </w:t>
      </w:r>
      <w:r w:rsidR="0020337F">
        <w:rPr>
          <w:rFonts w:ascii="Garamond" w:hAnsi="Garamond"/>
          <w:sz w:val="24"/>
          <w:szCs w:val="24"/>
          <w:lang w:val="en-US"/>
        </w:rPr>
        <w:t xml:space="preserve">These outcomes do not necessarily lead to problem solving: neither the EU engagement suggests that a crisis will be solved nor that the EU efforts will bring about a new international policy </w:t>
      </w:r>
      <w:r w:rsidR="00A7500B">
        <w:rPr>
          <w:rFonts w:ascii="Garamond" w:hAnsi="Garamond"/>
          <w:sz w:val="24"/>
          <w:szCs w:val="24"/>
          <w:lang w:val="en-US"/>
        </w:rPr>
        <w:t xml:space="preserve">order </w:t>
      </w:r>
      <w:r w:rsidR="0020337F">
        <w:rPr>
          <w:rFonts w:ascii="Garamond" w:hAnsi="Garamond"/>
          <w:sz w:val="24"/>
          <w:szCs w:val="24"/>
          <w:lang w:val="en-US"/>
        </w:rPr>
        <w:t xml:space="preserve">or deliver a more functional international organization. The emphasis of the outcome perspective is on the EU efforts and actions and whether they </w:t>
      </w:r>
      <w:r w:rsidR="009D653A">
        <w:rPr>
          <w:rFonts w:ascii="Garamond" w:hAnsi="Garamond"/>
          <w:sz w:val="24"/>
          <w:szCs w:val="24"/>
          <w:lang w:val="en-US"/>
        </w:rPr>
        <w:t xml:space="preserve">carry out the agreed outputs </w:t>
      </w:r>
      <w:r w:rsidR="0020337F">
        <w:rPr>
          <w:rFonts w:ascii="Garamond" w:hAnsi="Garamond"/>
          <w:sz w:val="24"/>
          <w:szCs w:val="24"/>
          <w:lang w:val="en-US"/>
        </w:rPr>
        <w:t xml:space="preserve">and </w:t>
      </w:r>
      <w:r w:rsidR="0020337F" w:rsidRPr="00D6421B">
        <w:rPr>
          <w:rFonts w:ascii="Garamond" w:hAnsi="Garamond"/>
          <w:i/>
          <w:sz w:val="24"/>
          <w:szCs w:val="24"/>
          <w:lang w:val="en-US"/>
        </w:rPr>
        <w:t>not</w:t>
      </w:r>
      <w:r w:rsidR="0020337F">
        <w:rPr>
          <w:rFonts w:ascii="Garamond" w:hAnsi="Garamond"/>
          <w:sz w:val="24"/>
          <w:szCs w:val="24"/>
          <w:lang w:val="en-US"/>
        </w:rPr>
        <w:t xml:space="preserve"> on their impact.   </w:t>
      </w:r>
    </w:p>
    <w:p w14:paraId="4A36B4A2" w14:textId="77777777" w:rsidR="00756894" w:rsidRDefault="00756894" w:rsidP="00053E62">
      <w:pPr>
        <w:ind w:right="-58"/>
        <w:jc w:val="both"/>
        <w:rPr>
          <w:rFonts w:ascii="Garamond" w:hAnsi="Garamond"/>
          <w:sz w:val="24"/>
          <w:szCs w:val="24"/>
          <w:lang w:val="en-US"/>
        </w:rPr>
      </w:pPr>
      <w:r w:rsidRPr="00D6421B">
        <w:rPr>
          <w:rFonts w:ascii="Garamond" w:hAnsi="Garamond"/>
          <w:sz w:val="24"/>
          <w:szCs w:val="24"/>
          <w:lang w:val="en-US"/>
        </w:rPr>
        <w:t>At this level, we can identify three performance indicators, namely cohesion and continuity, proper use of available instr</w:t>
      </w:r>
      <w:r w:rsidR="00D6421B">
        <w:rPr>
          <w:rFonts w:ascii="Garamond" w:hAnsi="Garamond"/>
          <w:sz w:val="24"/>
          <w:szCs w:val="24"/>
          <w:lang w:val="en-US"/>
        </w:rPr>
        <w:t xml:space="preserve">uments, and supply of international leadership. </w:t>
      </w:r>
      <w:r w:rsidR="00A7500B">
        <w:rPr>
          <w:rFonts w:ascii="Garamond" w:hAnsi="Garamond"/>
          <w:sz w:val="24"/>
          <w:szCs w:val="24"/>
          <w:lang w:val="en-US"/>
        </w:rPr>
        <w:t xml:space="preserve">The first two link the outcome with the output perspective, examining to what extent there is an EU behavioral change as a result of the agreed output. Cohesion may have been more relevant in the pre-Lisbon era, when different EU institutional actors were responsible for various aspects of the EU international engagement, as a result of which polyphony often turned to cacophony. Consider, for example, the case of economic sanctions imposed as a result of a Council decision to a regime for violation of human rights while at the same time the country in question </w:t>
      </w:r>
      <w:r w:rsidR="000A3428">
        <w:rPr>
          <w:rFonts w:ascii="Garamond" w:hAnsi="Garamond"/>
          <w:sz w:val="24"/>
          <w:szCs w:val="24"/>
          <w:lang w:val="en-US"/>
        </w:rPr>
        <w:t>continued to receive developmental aid from relevant EU programs</w:t>
      </w:r>
      <w:r w:rsidR="00B82B66">
        <w:rPr>
          <w:rFonts w:ascii="Garamond" w:hAnsi="Garamond"/>
          <w:sz w:val="24"/>
          <w:szCs w:val="24"/>
          <w:lang w:val="en-US"/>
        </w:rPr>
        <w:t xml:space="preserve"> handled by the Commission</w:t>
      </w:r>
      <w:r w:rsidR="000A3428">
        <w:rPr>
          <w:rFonts w:ascii="Garamond" w:hAnsi="Garamond"/>
          <w:sz w:val="24"/>
          <w:szCs w:val="24"/>
          <w:lang w:val="en-US"/>
        </w:rPr>
        <w:t xml:space="preserve">. The last two mostly refer to how the EU seeks to realize the output, whether it makes full use of the available resources and instruments and adopts a leadership profile. Both are indications of decisiveness and reveal the EU intention to become a more substantive international actor. </w:t>
      </w:r>
      <w:r w:rsidR="00CB6DEE">
        <w:rPr>
          <w:rFonts w:ascii="Garamond" w:hAnsi="Garamond"/>
          <w:sz w:val="24"/>
          <w:szCs w:val="24"/>
          <w:lang w:val="en-US"/>
        </w:rPr>
        <w:t>Needless to say, there is again a positive correlation between these indicators and outcome performance.</w:t>
      </w:r>
      <w:r w:rsidR="000A3428">
        <w:rPr>
          <w:rFonts w:ascii="Garamond" w:hAnsi="Garamond"/>
          <w:sz w:val="24"/>
          <w:szCs w:val="24"/>
          <w:lang w:val="en-US"/>
        </w:rPr>
        <w:t xml:space="preserve">  </w:t>
      </w:r>
    </w:p>
    <w:p w14:paraId="2FBC8152" w14:textId="77777777" w:rsidR="001A4ABC" w:rsidRDefault="009D653A" w:rsidP="00053E62">
      <w:pPr>
        <w:ind w:right="-58"/>
        <w:jc w:val="both"/>
        <w:rPr>
          <w:rFonts w:ascii="Garamond" w:hAnsi="Garamond"/>
          <w:sz w:val="24"/>
          <w:szCs w:val="24"/>
          <w:lang w:val="en-US"/>
        </w:rPr>
      </w:pPr>
      <w:r>
        <w:rPr>
          <w:rFonts w:ascii="Garamond" w:hAnsi="Garamond"/>
          <w:sz w:val="24"/>
          <w:szCs w:val="24"/>
          <w:lang w:val="en-US"/>
        </w:rPr>
        <w:t xml:space="preserve">Finally, at macro-level, the </w:t>
      </w:r>
      <w:r w:rsidRPr="0005789C">
        <w:rPr>
          <w:rFonts w:ascii="Garamond" w:hAnsi="Garamond"/>
          <w:b/>
          <w:i/>
          <w:sz w:val="24"/>
          <w:szCs w:val="24"/>
          <w:lang w:val="en-US"/>
        </w:rPr>
        <w:t>impact</w:t>
      </w:r>
      <w:r>
        <w:rPr>
          <w:rFonts w:ascii="Garamond" w:hAnsi="Garamond"/>
          <w:sz w:val="24"/>
          <w:szCs w:val="24"/>
          <w:lang w:val="en-US"/>
        </w:rPr>
        <w:t xml:space="preserve"> perspective </w:t>
      </w:r>
      <w:r w:rsidR="0028174C">
        <w:rPr>
          <w:rFonts w:ascii="Garamond" w:hAnsi="Garamond"/>
          <w:sz w:val="24"/>
          <w:szCs w:val="24"/>
          <w:lang w:val="en-US"/>
        </w:rPr>
        <w:t xml:space="preserve">assesses performance on the basis of </w:t>
      </w:r>
      <w:r>
        <w:rPr>
          <w:rFonts w:ascii="Garamond" w:hAnsi="Garamond"/>
          <w:sz w:val="24"/>
          <w:szCs w:val="24"/>
          <w:lang w:val="en-US"/>
        </w:rPr>
        <w:t xml:space="preserve">the effect of the EU </w:t>
      </w:r>
      <w:r w:rsidR="0028174C">
        <w:rPr>
          <w:rFonts w:ascii="Garamond" w:hAnsi="Garamond"/>
          <w:sz w:val="24"/>
          <w:szCs w:val="24"/>
          <w:lang w:val="en-US"/>
        </w:rPr>
        <w:t xml:space="preserve">international </w:t>
      </w:r>
      <w:r>
        <w:rPr>
          <w:rFonts w:ascii="Garamond" w:hAnsi="Garamond"/>
          <w:sz w:val="24"/>
          <w:szCs w:val="24"/>
          <w:lang w:val="en-US"/>
        </w:rPr>
        <w:t>outcome</w:t>
      </w:r>
      <w:r w:rsidR="0028174C">
        <w:rPr>
          <w:rFonts w:ascii="Garamond" w:hAnsi="Garamond"/>
          <w:sz w:val="24"/>
          <w:szCs w:val="24"/>
          <w:lang w:val="en-US"/>
        </w:rPr>
        <w:t xml:space="preserve">s, that is the result of EU activities either in handling individual crises or in the broader process of </w:t>
      </w:r>
      <w:r w:rsidR="00CB6DEE">
        <w:rPr>
          <w:rFonts w:ascii="Garamond" w:hAnsi="Garamond"/>
          <w:sz w:val="24"/>
          <w:szCs w:val="24"/>
          <w:lang w:val="en-US"/>
        </w:rPr>
        <w:t xml:space="preserve">policy order </w:t>
      </w:r>
      <w:r w:rsidR="0028174C">
        <w:rPr>
          <w:rFonts w:ascii="Garamond" w:hAnsi="Garamond"/>
          <w:sz w:val="24"/>
          <w:szCs w:val="24"/>
          <w:lang w:val="en-US"/>
        </w:rPr>
        <w:t>formation.</w:t>
      </w:r>
      <w:r w:rsidR="00882438">
        <w:rPr>
          <w:rFonts w:ascii="Garamond" w:hAnsi="Garamond"/>
          <w:sz w:val="24"/>
          <w:szCs w:val="24"/>
          <w:lang w:val="en-US"/>
        </w:rPr>
        <w:t xml:space="preserve"> Methodologically speaking, the challenge in this perspective is to establish causality between the EU actions and the changed environment in order to credit the EU with </w:t>
      </w:r>
      <w:r w:rsidR="00882438">
        <w:rPr>
          <w:rFonts w:ascii="Garamond" w:hAnsi="Garamond"/>
          <w:sz w:val="24"/>
          <w:szCs w:val="24"/>
          <w:lang w:val="en-US"/>
        </w:rPr>
        <w:lastRenderedPageBreak/>
        <w:t>developments and establish solidly any claims about the EU performance record. The underlying counterfactual question that we should bear in mind</w:t>
      </w:r>
      <w:r w:rsidR="00D56272">
        <w:rPr>
          <w:rFonts w:ascii="Garamond" w:hAnsi="Garamond"/>
          <w:sz w:val="24"/>
          <w:szCs w:val="24"/>
          <w:lang w:val="en-US"/>
        </w:rPr>
        <w:t xml:space="preserve"> and seek to address </w:t>
      </w:r>
      <w:r w:rsidR="00882438">
        <w:rPr>
          <w:rFonts w:ascii="Garamond" w:hAnsi="Garamond"/>
          <w:sz w:val="24"/>
          <w:szCs w:val="24"/>
          <w:lang w:val="en-US"/>
        </w:rPr>
        <w:t xml:space="preserve">is what would have happened if the EU had not intervened. </w:t>
      </w:r>
    </w:p>
    <w:p w14:paraId="6DB9F1CA" w14:textId="77777777" w:rsidR="001E7370" w:rsidRDefault="00882438" w:rsidP="00053E62">
      <w:pPr>
        <w:ind w:right="-58"/>
        <w:jc w:val="both"/>
        <w:rPr>
          <w:rFonts w:ascii="Garamond" w:hAnsi="Garamond"/>
          <w:sz w:val="24"/>
          <w:szCs w:val="24"/>
          <w:lang w:val="en-US"/>
        </w:rPr>
      </w:pPr>
      <w:r>
        <w:rPr>
          <w:rFonts w:ascii="Garamond" w:hAnsi="Garamond"/>
          <w:sz w:val="24"/>
          <w:szCs w:val="24"/>
          <w:lang w:val="en-US"/>
        </w:rPr>
        <w:t>There are three types of standards that have been proposed to assess the impact</w:t>
      </w:r>
      <w:r w:rsidR="00CA24CF">
        <w:rPr>
          <w:rFonts w:ascii="Garamond" w:hAnsi="Garamond"/>
          <w:sz w:val="24"/>
          <w:szCs w:val="24"/>
          <w:lang w:val="en-US"/>
        </w:rPr>
        <w:t xml:space="preserve"> dimension of IOs performance</w:t>
      </w:r>
      <w:r w:rsidR="00794ED7">
        <w:rPr>
          <w:rFonts w:ascii="Garamond" w:hAnsi="Garamond"/>
          <w:sz w:val="24"/>
          <w:szCs w:val="24"/>
          <w:lang w:val="en-US"/>
        </w:rPr>
        <w:t>: goal attainment, problem solving and collective optima (Mitchell 2008: 87-90). Goal attainment entails an assessment on the basis of the formal organizational goals identified in the output. Presumably, as mentioned above in the output criteria of clarity and meaningfulness, the output is often unambitious or hazy, which enables an international organization and/or its stakeholders to claim success and good performance in any case. Often, to avoid reputational costs of ‘bad performance’, goals are intentionally low-</w:t>
      </w:r>
      <w:r w:rsidR="001A4ABC">
        <w:rPr>
          <w:rFonts w:ascii="Garamond" w:hAnsi="Garamond"/>
          <w:sz w:val="24"/>
          <w:szCs w:val="24"/>
          <w:lang w:val="en-US"/>
        </w:rPr>
        <w:t xml:space="preserve">level </w:t>
      </w:r>
      <w:r w:rsidR="00794ED7">
        <w:rPr>
          <w:rFonts w:ascii="Garamond" w:hAnsi="Garamond"/>
          <w:sz w:val="24"/>
          <w:szCs w:val="24"/>
          <w:lang w:val="en-US"/>
        </w:rPr>
        <w:t xml:space="preserve">and thus easily achieved. A problem-solving approach </w:t>
      </w:r>
      <w:r w:rsidR="00CD61C2">
        <w:rPr>
          <w:rFonts w:ascii="Garamond" w:hAnsi="Garamond"/>
          <w:sz w:val="24"/>
          <w:szCs w:val="24"/>
          <w:lang w:val="en-US"/>
        </w:rPr>
        <w:t>is a more ambitious standard of impact performance</w:t>
      </w:r>
      <w:r w:rsidR="00794ED7">
        <w:rPr>
          <w:rFonts w:ascii="Garamond" w:hAnsi="Garamond"/>
          <w:sz w:val="24"/>
          <w:szCs w:val="24"/>
          <w:lang w:val="en-US"/>
        </w:rPr>
        <w:t xml:space="preserve"> </w:t>
      </w:r>
      <w:r w:rsidR="00CD61C2">
        <w:rPr>
          <w:rFonts w:ascii="Garamond" w:hAnsi="Garamond"/>
          <w:sz w:val="24"/>
          <w:szCs w:val="24"/>
          <w:lang w:val="en-US"/>
        </w:rPr>
        <w:t xml:space="preserve">that associates performance with the progress toward resolving an issue as defined by the originators and stakeholders of an organization. In the EU parlance, member-states may well know what they want to achieve but acknowledging the difficulties, they produce a far less ambitious output that constitutes their formal performance benchmark. Finally, the collective optima standard is even more ambitious than the former two, raising further the threshold of ‘good performance’ by selecting a more holistic approach to what constitutes the solution to a problem. For </w:t>
      </w:r>
      <w:r w:rsidR="001A4ABC">
        <w:rPr>
          <w:rFonts w:ascii="Garamond" w:hAnsi="Garamond"/>
          <w:sz w:val="24"/>
          <w:szCs w:val="24"/>
          <w:lang w:val="en-US"/>
        </w:rPr>
        <w:t xml:space="preserve">example, for </w:t>
      </w:r>
      <w:r w:rsidR="00CD61C2">
        <w:rPr>
          <w:rFonts w:ascii="Garamond" w:hAnsi="Garamond"/>
          <w:sz w:val="24"/>
          <w:szCs w:val="24"/>
          <w:lang w:val="en-US"/>
        </w:rPr>
        <w:t>the EU</w:t>
      </w:r>
      <w:r w:rsidR="00FD0870">
        <w:rPr>
          <w:rFonts w:ascii="Garamond" w:hAnsi="Garamond"/>
          <w:sz w:val="24"/>
          <w:szCs w:val="24"/>
          <w:lang w:val="en-US"/>
        </w:rPr>
        <w:t>,</w:t>
      </w:r>
      <w:r w:rsidR="00CD61C2">
        <w:rPr>
          <w:rFonts w:ascii="Garamond" w:hAnsi="Garamond"/>
          <w:sz w:val="24"/>
          <w:szCs w:val="24"/>
          <w:lang w:val="en-US"/>
        </w:rPr>
        <w:t xml:space="preserve"> </w:t>
      </w:r>
      <w:r w:rsidR="001A4ABC">
        <w:rPr>
          <w:rFonts w:ascii="Garamond" w:hAnsi="Garamond"/>
          <w:sz w:val="24"/>
          <w:szCs w:val="24"/>
          <w:lang w:val="en-US"/>
        </w:rPr>
        <w:t>brokering a ceasefire in a regional imbroglio may be an indication of successful intervention but this does not produce a comprehensive solution to the crisis.</w:t>
      </w:r>
      <w:r w:rsidR="00CD61C2">
        <w:rPr>
          <w:rFonts w:ascii="Garamond" w:hAnsi="Garamond"/>
          <w:sz w:val="24"/>
          <w:szCs w:val="24"/>
          <w:lang w:val="en-US"/>
        </w:rPr>
        <w:t xml:space="preserve"> </w:t>
      </w:r>
      <w:r w:rsidR="001A4ABC">
        <w:rPr>
          <w:rFonts w:ascii="Garamond" w:hAnsi="Garamond"/>
          <w:sz w:val="24"/>
          <w:szCs w:val="24"/>
          <w:lang w:val="en-US"/>
        </w:rPr>
        <w:t xml:space="preserve">Or, orchestrating the international response to the Iranian nuclear program may have well gained some praise for the EU but has not settled the issue. </w:t>
      </w:r>
      <w:r w:rsidR="00CD61C2">
        <w:rPr>
          <w:rFonts w:ascii="Garamond" w:hAnsi="Garamond"/>
          <w:sz w:val="24"/>
          <w:szCs w:val="24"/>
          <w:lang w:val="en-US"/>
        </w:rPr>
        <w:t xml:space="preserve"> </w:t>
      </w:r>
      <w:r w:rsidR="00794ED7">
        <w:rPr>
          <w:rFonts w:ascii="Garamond" w:hAnsi="Garamond"/>
          <w:sz w:val="24"/>
          <w:szCs w:val="24"/>
          <w:lang w:val="en-US"/>
        </w:rPr>
        <w:t xml:space="preserve">   </w:t>
      </w:r>
      <w:r>
        <w:rPr>
          <w:rFonts w:ascii="Garamond" w:hAnsi="Garamond"/>
          <w:sz w:val="24"/>
          <w:szCs w:val="24"/>
          <w:lang w:val="en-US"/>
        </w:rPr>
        <w:t xml:space="preserve">  </w:t>
      </w:r>
    </w:p>
    <w:p w14:paraId="117DCBC5" w14:textId="77777777" w:rsidR="001E7370" w:rsidRDefault="00CB6DEE" w:rsidP="00053E62">
      <w:pPr>
        <w:ind w:right="-58"/>
        <w:jc w:val="both"/>
        <w:rPr>
          <w:rStyle w:val="apple-style-span"/>
          <w:rFonts w:ascii="Garamond" w:hAnsi="Garamond" w:cs="Cambria"/>
          <w:sz w:val="24"/>
          <w:szCs w:val="24"/>
          <w:lang w:val="en-US"/>
        </w:rPr>
      </w:pPr>
      <w:r>
        <w:rPr>
          <w:rFonts w:ascii="Garamond" w:hAnsi="Garamond"/>
          <w:sz w:val="24"/>
          <w:szCs w:val="24"/>
          <w:lang w:val="en-US"/>
        </w:rPr>
        <w:t>Regardless of the chosen standard of assessment, e</w:t>
      </w:r>
      <w:r w:rsidR="00B33F57" w:rsidRPr="00CB6DEE">
        <w:rPr>
          <w:rFonts w:ascii="Garamond" w:hAnsi="Garamond"/>
          <w:sz w:val="24"/>
          <w:szCs w:val="24"/>
          <w:lang w:val="en-US"/>
        </w:rPr>
        <w:t>ffectiveness and efficiency are the two main indicators to evaluate the impact perspective of the EU international performance. Effectiveness captures primarily the degree of goal attainment for the EU</w:t>
      </w:r>
      <w:r>
        <w:rPr>
          <w:rFonts w:ascii="Garamond" w:hAnsi="Garamond"/>
          <w:sz w:val="24"/>
          <w:szCs w:val="24"/>
          <w:lang w:val="en-US"/>
        </w:rPr>
        <w:t xml:space="preserve">, whoever defines the goal and whatever its content might be </w:t>
      </w:r>
      <w:r w:rsidR="00B33F57" w:rsidRPr="00CB6DEE">
        <w:rPr>
          <w:rFonts w:ascii="Garamond" w:hAnsi="Garamond"/>
          <w:sz w:val="24"/>
          <w:szCs w:val="24"/>
          <w:lang w:val="en-US"/>
        </w:rPr>
        <w:t>(Groen and Niemann 2011: 7)</w:t>
      </w:r>
      <w:r>
        <w:rPr>
          <w:rFonts w:ascii="Garamond" w:hAnsi="Garamond"/>
          <w:sz w:val="24"/>
          <w:szCs w:val="24"/>
          <w:lang w:val="en-US"/>
        </w:rPr>
        <w:t xml:space="preserve">. Efficiency captures the ratio of used resources to their actual impact, implying that </w:t>
      </w:r>
      <w:r w:rsidR="001F45FB">
        <w:rPr>
          <w:rFonts w:ascii="Garamond" w:hAnsi="Garamond"/>
          <w:sz w:val="24"/>
          <w:szCs w:val="24"/>
          <w:lang w:val="en-US"/>
        </w:rPr>
        <w:t xml:space="preserve">given the scarcity of EU resources, </w:t>
      </w:r>
      <w:r>
        <w:rPr>
          <w:rFonts w:ascii="Garamond" w:hAnsi="Garamond"/>
          <w:sz w:val="24"/>
          <w:szCs w:val="24"/>
          <w:lang w:val="en-US"/>
        </w:rPr>
        <w:t>the</w:t>
      </w:r>
      <w:r w:rsidR="001F45FB">
        <w:rPr>
          <w:rFonts w:ascii="Garamond" w:hAnsi="Garamond"/>
          <w:sz w:val="24"/>
          <w:szCs w:val="24"/>
          <w:lang w:val="en-US"/>
        </w:rPr>
        <w:t>ir</w:t>
      </w:r>
      <w:r>
        <w:rPr>
          <w:rFonts w:ascii="Garamond" w:hAnsi="Garamond"/>
          <w:sz w:val="24"/>
          <w:szCs w:val="24"/>
          <w:lang w:val="en-US"/>
        </w:rPr>
        <w:t xml:space="preserve"> marginal utility should be also taken into consideration when evaluating the impact performance of the EU (</w:t>
      </w:r>
      <w:r>
        <w:rPr>
          <w:rStyle w:val="apple-style-span"/>
          <w:rFonts w:ascii="Garamond" w:hAnsi="Garamond" w:cs="Cambria"/>
          <w:sz w:val="24"/>
          <w:szCs w:val="24"/>
          <w:lang w:val="en-US"/>
        </w:rPr>
        <w:t>Jørgensen and Oberthür, 2011).</w:t>
      </w:r>
    </w:p>
    <w:p w14:paraId="21FF01EF" w14:textId="77777777" w:rsidR="001173A3" w:rsidRDefault="001173A3" w:rsidP="00053E62">
      <w:pPr>
        <w:ind w:right="-58"/>
        <w:jc w:val="both"/>
        <w:rPr>
          <w:rFonts w:ascii="Garamond" w:hAnsi="Garamond"/>
          <w:b/>
          <w:i/>
          <w:sz w:val="24"/>
          <w:szCs w:val="24"/>
          <w:lang w:val="en-US"/>
        </w:rPr>
      </w:pPr>
    </w:p>
    <w:p w14:paraId="4EF9FE99" w14:textId="77777777" w:rsidR="0028174C" w:rsidRDefault="00C52013" w:rsidP="00053E62">
      <w:pPr>
        <w:ind w:right="-58"/>
        <w:jc w:val="both"/>
        <w:rPr>
          <w:rFonts w:ascii="Garamond" w:hAnsi="Garamond"/>
          <w:b/>
          <w:i/>
          <w:sz w:val="24"/>
          <w:szCs w:val="24"/>
          <w:lang w:val="en-US"/>
        </w:rPr>
      </w:pPr>
      <w:r w:rsidRPr="00C52013">
        <w:rPr>
          <w:rFonts w:ascii="Garamond" w:hAnsi="Garamond"/>
          <w:b/>
          <w:i/>
          <w:sz w:val="24"/>
          <w:szCs w:val="24"/>
          <w:lang w:val="en-US"/>
        </w:rPr>
        <w:t xml:space="preserve">Parameters </w:t>
      </w:r>
      <w:r w:rsidR="00B23F68">
        <w:rPr>
          <w:rFonts w:ascii="Garamond" w:hAnsi="Garamond"/>
          <w:b/>
          <w:i/>
          <w:sz w:val="24"/>
          <w:szCs w:val="24"/>
          <w:lang w:val="en-US"/>
        </w:rPr>
        <w:t>Conditioning the EU International</w:t>
      </w:r>
      <w:r w:rsidRPr="00C52013">
        <w:rPr>
          <w:rFonts w:ascii="Garamond" w:hAnsi="Garamond"/>
          <w:b/>
          <w:i/>
          <w:sz w:val="24"/>
          <w:szCs w:val="24"/>
          <w:lang w:val="en-US"/>
        </w:rPr>
        <w:t xml:space="preserve"> Performance</w:t>
      </w:r>
    </w:p>
    <w:p w14:paraId="67A90613" w14:textId="77777777" w:rsidR="00423E0C" w:rsidRPr="00155FB3" w:rsidRDefault="00423E0C" w:rsidP="00053E62">
      <w:pPr>
        <w:ind w:right="-58"/>
        <w:jc w:val="both"/>
        <w:rPr>
          <w:rFonts w:ascii="Garamond" w:hAnsi="Garamond"/>
          <w:b/>
          <w:sz w:val="24"/>
          <w:szCs w:val="24"/>
          <w:lang w:val="en-US"/>
        </w:rPr>
      </w:pPr>
      <w:r>
        <w:rPr>
          <w:rFonts w:ascii="Garamond" w:hAnsi="Garamond"/>
          <w:sz w:val="24"/>
          <w:szCs w:val="24"/>
          <w:lang w:val="en-US"/>
        </w:rPr>
        <w:t xml:space="preserve">Different parameters condition each level </w:t>
      </w:r>
      <w:r w:rsidR="00155FB3">
        <w:rPr>
          <w:rFonts w:ascii="Garamond" w:hAnsi="Garamond"/>
          <w:sz w:val="24"/>
          <w:szCs w:val="24"/>
          <w:lang w:val="en-US"/>
        </w:rPr>
        <w:t xml:space="preserve">of analysis </w:t>
      </w:r>
      <w:r>
        <w:rPr>
          <w:rFonts w:ascii="Garamond" w:hAnsi="Garamond"/>
          <w:sz w:val="24"/>
          <w:szCs w:val="24"/>
          <w:lang w:val="en-US"/>
        </w:rPr>
        <w:t xml:space="preserve">of </w:t>
      </w:r>
      <w:r w:rsidR="00155FB3">
        <w:rPr>
          <w:rFonts w:ascii="Garamond" w:hAnsi="Garamond"/>
          <w:sz w:val="24"/>
          <w:szCs w:val="24"/>
          <w:lang w:val="en-US"/>
        </w:rPr>
        <w:t xml:space="preserve">the </w:t>
      </w:r>
      <w:r>
        <w:rPr>
          <w:rFonts w:ascii="Garamond" w:hAnsi="Garamond"/>
          <w:sz w:val="24"/>
          <w:szCs w:val="24"/>
          <w:lang w:val="en-US"/>
        </w:rPr>
        <w:t>EU international performance</w:t>
      </w:r>
      <w:r w:rsidR="00155FB3">
        <w:rPr>
          <w:rFonts w:ascii="Garamond" w:hAnsi="Garamond"/>
          <w:sz w:val="24"/>
          <w:szCs w:val="24"/>
          <w:lang w:val="en-US"/>
        </w:rPr>
        <w:t xml:space="preserve">. Starting from the output perspective, endogenous factors primarily cast their effect, most importantly the heterogeneity of member-states and their preferences as well as the institutional </w:t>
      </w:r>
      <w:r w:rsidR="00155FB3" w:rsidRPr="00155FB3">
        <w:rPr>
          <w:rFonts w:ascii="Garamond" w:hAnsi="Garamond"/>
          <w:i/>
          <w:sz w:val="24"/>
          <w:szCs w:val="24"/>
          <w:lang w:val="en-US"/>
        </w:rPr>
        <w:t>modus operandi</w:t>
      </w:r>
      <w:r w:rsidR="00155FB3">
        <w:rPr>
          <w:rFonts w:ascii="Garamond" w:hAnsi="Garamond"/>
          <w:sz w:val="24"/>
          <w:szCs w:val="24"/>
          <w:lang w:val="en-US"/>
        </w:rPr>
        <w:t xml:space="preserve"> of the EU. </w:t>
      </w:r>
      <w:r w:rsidR="00155FB3" w:rsidRPr="00155FB3">
        <w:rPr>
          <w:rFonts w:ascii="Garamond" w:hAnsi="Garamond"/>
          <w:sz w:val="24"/>
          <w:szCs w:val="24"/>
          <w:lang w:val="en-US"/>
        </w:rPr>
        <w:t>The EU’s political system is especially complex an</w:t>
      </w:r>
      <w:smartTag w:uri="urn:schemas-microsoft-com:office:smarttags" w:element="PersonName">
        <w:r w:rsidR="00155FB3" w:rsidRPr="00155FB3">
          <w:rPr>
            <w:rFonts w:ascii="Garamond" w:hAnsi="Garamond"/>
            <w:sz w:val="24"/>
            <w:szCs w:val="24"/>
            <w:lang w:val="en-US"/>
          </w:rPr>
          <w:t>d</w:t>
        </w:r>
      </w:smartTag>
      <w:r w:rsidR="00155FB3" w:rsidRPr="00155FB3">
        <w:rPr>
          <w:rFonts w:ascii="Garamond" w:hAnsi="Garamond"/>
          <w:sz w:val="24"/>
          <w:szCs w:val="24"/>
          <w:lang w:val="en-US"/>
        </w:rPr>
        <w:t xml:space="preserve"> </w:t>
      </w:r>
      <w:smartTag w:uri="urn:schemas-microsoft-com:office:smarttags" w:element="PersonName">
        <w:r w:rsidR="00155FB3" w:rsidRPr="00155FB3">
          <w:rPr>
            <w:rFonts w:ascii="Garamond" w:hAnsi="Garamond"/>
            <w:sz w:val="24"/>
            <w:szCs w:val="24"/>
            <w:lang w:val="en-US"/>
          </w:rPr>
          <w:t>d</w:t>
        </w:r>
      </w:smartTag>
      <w:r w:rsidR="00155FB3" w:rsidRPr="00155FB3">
        <w:rPr>
          <w:rFonts w:ascii="Garamond" w:hAnsi="Garamond"/>
          <w:sz w:val="24"/>
          <w:szCs w:val="24"/>
          <w:lang w:val="en-US"/>
        </w:rPr>
        <w:t>ynamic, with multiple focal points of power at national an</w:t>
      </w:r>
      <w:smartTag w:uri="urn:schemas-microsoft-com:office:smarttags" w:element="PersonName">
        <w:r w:rsidR="00155FB3" w:rsidRPr="00155FB3">
          <w:rPr>
            <w:rFonts w:ascii="Garamond" w:hAnsi="Garamond"/>
            <w:sz w:val="24"/>
            <w:szCs w:val="24"/>
            <w:lang w:val="en-US"/>
          </w:rPr>
          <w:t>d</w:t>
        </w:r>
      </w:smartTag>
      <w:r w:rsidR="00155FB3" w:rsidRPr="00155FB3">
        <w:rPr>
          <w:rFonts w:ascii="Garamond" w:hAnsi="Garamond"/>
          <w:sz w:val="24"/>
          <w:szCs w:val="24"/>
          <w:lang w:val="en-US"/>
        </w:rPr>
        <w:t xml:space="preserve"> EU level (Hix 2005). </w:t>
      </w:r>
      <w:r w:rsidR="00155FB3">
        <w:rPr>
          <w:rFonts w:ascii="Garamond" w:hAnsi="Garamond"/>
          <w:sz w:val="24"/>
          <w:szCs w:val="24"/>
          <w:lang w:val="en-US"/>
        </w:rPr>
        <w:t>T</w:t>
      </w:r>
      <w:r w:rsidR="00155FB3" w:rsidRPr="00155FB3">
        <w:rPr>
          <w:rFonts w:ascii="Garamond" w:hAnsi="Garamond"/>
          <w:sz w:val="24"/>
          <w:szCs w:val="24"/>
          <w:lang w:val="en-US"/>
        </w:rPr>
        <w:t>he EU suffers inherently from a split personality syn</w:t>
      </w:r>
      <w:smartTag w:uri="urn:schemas-microsoft-com:office:smarttags" w:element="PersonName">
        <w:r w:rsidR="00155FB3" w:rsidRPr="00155FB3">
          <w:rPr>
            <w:rFonts w:ascii="Garamond" w:hAnsi="Garamond"/>
            <w:sz w:val="24"/>
            <w:szCs w:val="24"/>
            <w:lang w:val="en-US"/>
          </w:rPr>
          <w:t>d</w:t>
        </w:r>
      </w:smartTag>
      <w:r w:rsidR="00155FB3" w:rsidRPr="00155FB3">
        <w:rPr>
          <w:rFonts w:ascii="Garamond" w:hAnsi="Garamond"/>
          <w:sz w:val="24"/>
          <w:szCs w:val="24"/>
          <w:lang w:val="en-US"/>
        </w:rPr>
        <w:t>rome, constituting both an actor in its own right but also a multilateral arena for the articulation an</w:t>
      </w:r>
      <w:smartTag w:uri="urn:schemas-microsoft-com:office:smarttags" w:element="PersonName">
        <w:r w:rsidR="00155FB3" w:rsidRPr="00155FB3">
          <w:rPr>
            <w:rFonts w:ascii="Garamond" w:hAnsi="Garamond"/>
            <w:sz w:val="24"/>
            <w:szCs w:val="24"/>
            <w:lang w:val="en-US"/>
          </w:rPr>
          <w:t>d</w:t>
        </w:r>
      </w:smartTag>
      <w:r w:rsidR="00155FB3" w:rsidRPr="00155FB3">
        <w:rPr>
          <w:rFonts w:ascii="Garamond" w:hAnsi="Garamond"/>
          <w:sz w:val="24"/>
          <w:szCs w:val="24"/>
          <w:lang w:val="en-US"/>
        </w:rPr>
        <w:t xml:space="preserve"> projection of member-states’ particularistic interests (Jørgensen an</w:t>
      </w:r>
      <w:smartTag w:uri="urn:schemas-microsoft-com:office:smarttags" w:element="PersonName">
        <w:r w:rsidR="00155FB3" w:rsidRPr="00155FB3">
          <w:rPr>
            <w:rFonts w:ascii="Garamond" w:hAnsi="Garamond"/>
            <w:sz w:val="24"/>
            <w:szCs w:val="24"/>
            <w:lang w:val="en-US"/>
          </w:rPr>
          <w:t>d</w:t>
        </w:r>
      </w:smartTag>
      <w:r w:rsidR="00155FB3" w:rsidRPr="00155FB3">
        <w:rPr>
          <w:rFonts w:ascii="Garamond" w:hAnsi="Garamond"/>
          <w:sz w:val="24"/>
          <w:szCs w:val="24"/>
          <w:lang w:val="en-US"/>
        </w:rPr>
        <w:t xml:space="preserve"> Laatikainen 2006: 10). Thus, unsurprisingly, </w:t>
      </w:r>
      <w:r w:rsidR="00155FB3">
        <w:rPr>
          <w:rFonts w:ascii="Garamond" w:hAnsi="Garamond"/>
          <w:sz w:val="24"/>
          <w:szCs w:val="24"/>
          <w:lang w:val="en-US"/>
        </w:rPr>
        <w:t xml:space="preserve">the EU international performance is </w:t>
      </w:r>
      <w:r w:rsidR="00155FB3" w:rsidRPr="00155FB3">
        <w:rPr>
          <w:rFonts w:ascii="Garamond" w:hAnsi="Garamond"/>
          <w:sz w:val="24"/>
          <w:szCs w:val="24"/>
          <w:lang w:val="en-US"/>
        </w:rPr>
        <w:t xml:space="preserve">subject to the degree of preference heterogeneity among the EU member-states in the first place and whether the aggregation </w:t>
      </w:r>
      <w:r w:rsidR="00155FB3" w:rsidRPr="00155FB3">
        <w:rPr>
          <w:rFonts w:ascii="Garamond" w:hAnsi="Garamond"/>
          <w:sz w:val="24"/>
          <w:szCs w:val="24"/>
          <w:lang w:val="en-US"/>
        </w:rPr>
        <w:lastRenderedPageBreak/>
        <w:t xml:space="preserve">function operates smoothly. Considerable congruence of the constituent principals in the first place -or goal cohesion in the language of Jupille and Caporaso (1998)- clearly </w:t>
      </w:r>
      <w:r w:rsidR="00155FB3">
        <w:rPr>
          <w:rFonts w:ascii="Garamond" w:hAnsi="Garamond"/>
          <w:sz w:val="24"/>
          <w:szCs w:val="24"/>
          <w:lang w:val="en-US"/>
        </w:rPr>
        <w:t xml:space="preserve">adds to the </w:t>
      </w:r>
      <w:r w:rsidR="00155FB3" w:rsidRPr="00155FB3">
        <w:rPr>
          <w:rFonts w:ascii="Garamond" w:hAnsi="Garamond"/>
          <w:sz w:val="24"/>
          <w:szCs w:val="24"/>
          <w:lang w:val="en-US"/>
        </w:rPr>
        <w:t xml:space="preserve">EU international </w:t>
      </w:r>
      <w:r w:rsidR="00155FB3">
        <w:rPr>
          <w:rFonts w:ascii="Garamond" w:hAnsi="Garamond"/>
          <w:sz w:val="24"/>
          <w:szCs w:val="24"/>
          <w:lang w:val="en-US"/>
        </w:rPr>
        <w:t xml:space="preserve">performance, allowing a clear, meaningful, and inclusive </w:t>
      </w:r>
      <w:r w:rsidR="00E77AF9">
        <w:rPr>
          <w:rFonts w:ascii="Garamond" w:hAnsi="Garamond"/>
          <w:sz w:val="24"/>
          <w:szCs w:val="24"/>
          <w:lang w:val="en-US"/>
        </w:rPr>
        <w:t xml:space="preserve">output that testifies to the EU relevance for the primary stakeholders. Internal ruptures that prove impossible to bridge create either inaction or at best rather obscure outputs that undermine the EU performance perspective. </w:t>
      </w:r>
    </w:p>
    <w:p w14:paraId="5A5B0694" w14:textId="77777777" w:rsidR="00096DAB" w:rsidRPr="00E77AF9" w:rsidRDefault="00E77AF9" w:rsidP="00053E62">
      <w:pPr>
        <w:ind w:right="-58"/>
        <w:jc w:val="both"/>
        <w:rPr>
          <w:rFonts w:ascii="Garamond" w:hAnsi="Garamond"/>
          <w:sz w:val="24"/>
          <w:szCs w:val="24"/>
          <w:lang w:val="en-US"/>
        </w:rPr>
      </w:pPr>
      <w:r w:rsidRPr="00E77AF9">
        <w:rPr>
          <w:rFonts w:ascii="Garamond" w:hAnsi="Garamond"/>
          <w:sz w:val="24"/>
          <w:szCs w:val="24"/>
          <w:lang w:val="en-US"/>
        </w:rPr>
        <w:t xml:space="preserve">The </w:t>
      </w:r>
      <w:r w:rsidR="00251BE8">
        <w:rPr>
          <w:rFonts w:ascii="Garamond" w:hAnsi="Garamond"/>
          <w:sz w:val="24"/>
          <w:szCs w:val="24"/>
          <w:lang w:val="en-US"/>
        </w:rPr>
        <w:t xml:space="preserve">second important parameter that affects the output perspective is the </w:t>
      </w:r>
      <w:r w:rsidRPr="00E77AF9">
        <w:rPr>
          <w:rFonts w:ascii="Garamond" w:hAnsi="Garamond"/>
          <w:sz w:val="24"/>
          <w:szCs w:val="24"/>
          <w:lang w:val="en-US"/>
        </w:rPr>
        <w:t xml:space="preserve">EU </w:t>
      </w:r>
      <w:r>
        <w:rPr>
          <w:rFonts w:ascii="Garamond" w:hAnsi="Garamond"/>
          <w:sz w:val="24"/>
          <w:szCs w:val="24"/>
          <w:lang w:val="en-US"/>
        </w:rPr>
        <w:t xml:space="preserve">institutional </w:t>
      </w:r>
      <w:r w:rsidRPr="00E77AF9">
        <w:rPr>
          <w:rFonts w:ascii="Garamond" w:hAnsi="Garamond"/>
          <w:i/>
          <w:sz w:val="24"/>
          <w:szCs w:val="24"/>
          <w:lang w:val="en-US"/>
        </w:rPr>
        <w:t>modus operandi</w:t>
      </w:r>
      <w:r>
        <w:rPr>
          <w:rFonts w:ascii="Garamond" w:hAnsi="Garamond"/>
          <w:sz w:val="24"/>
          <w:szCs w:val="24"/>
          <w:lang w:val="en-US"/>
        </w:rPr>
        <w:t>. T</w:t>
      </w:r>
      <w:r w:rsidRPr="00E77AF9">
        <w:rPr>
          <w:rFonts w:ascii="Garamond" w:hAnsi="Garamond"/>
          <w:sz w:val="24"/>
          <w:szCs w:val="24"/>
          <w:lang w:val="en-US"/>
        </w:rPr>
        <w:t xml:space="preserve">he degree of fragmentation and the set of rules that defines the policymaking mode among and within executive poles have a strong effect on the capacity of an actor to adopt and support negotiating positions that depart from the </w:t>
      </w:r>
      <w:r w:rsidRPr="00E77AF9">
        <w:rPr>
          <w:rFonts w:ascii="Garamond" w:hAnsi="Garamond"/>
          <w:i/>
          <w:iCs/>
          <w:sz w:val="24"/>
          <w:szCs w:val="24"/>
          <w:lang w:val="en-US"/>
        </w:rPr>
        <w:t>status quo</w:t>
      </w:r>
      <w:r w:rsidRPr="00E77AF9">
        <w:rPr>
          <w:rFonts w:ascii="Garamond" w:hAnsi="Garamond"/>
          <w:sz w:val="24"/>
          <w:szCs w:val="24"/>
          <w:lang w:val="en-US"/>
        </w:rPr>
        <w:t xml:space="preserve"> (Tsebelis 1995).</w:t>
      </w:r>
      <w:r w:rsidR="00096DAB" w:rsidRPr="00E77AF9">
        <w:rPr>
          <w:rFonts w:ascii="Garamond" w:hAnsi="Garamond"/>
          <w:sz w:val="24"/>
          <w:szCs w:val="24"/>
          <w:lang w:val="en-US"/>
        </w:rPr>
        <w:t xml:space="preserve"> </w:t>
      </w:r>
      <w:r w:rsidR="00C66DE5">
        <w:rPr>
          <w:rFonts w:ascii="Garamond" w:hAnsi="Garamond"/>
          <w:sz w:val="24"/>
          <w:szCs w:val="24"/>
          <w:lang w:val="en-US"/>
        </w:rPr>
        <w:t>Thus, t</w:t>
      </w:r>
      <w:r w:rsidRPr="00E77AF9">
        <w:rPr>
          <w:rFonts w:ascii="Garamond" w:hAnsi="Garamond"/>
          <w:sz w:val="24"/>
          <w:szCs w:val="24"/>
          <w:lang w:val="en-US"/>
        </w:rPr>
        <w:t xml:space="preserve">he fragmented EU policymaking system and the constraining decision-making rules in most thematic areas </w:t>
      </w:r>
      <w:r w:rsidR="00251BE8">
        <w:rPr>
          <w:rFonts w:ascii="Garamond" w:hAnsi="Garamond"/>
          <w:sz w:val="24"/>
          <w:szCs w:val="24"/>
          <w:lang w:val="en-US"/>
        </w:rPr>
        <w:t xml:space="preserve">that touch upon the EU international dimension </w:t>
      </w:r>
      <w:r w:rsidRPr="00E77AF9">
        <w:rPr>
          <w:rFonts w:ascii="Garamond" w:hAnsi="Garamond"/>
          <w:sz w:val="24"/>
          <w:szCs w:val="24"/>
          <w:lang w:val="en-US"/>
        </w:rPr>
        <w:t xml:space="preserve">make life hard for EU </w:t>
      </w:r>
      <w:r w:rsidR="00251BE8">
        <w:rPr>
          <w:rFonts w:ascii="Garamond" w:hAnsi="Garamond"/>
          <w:sz w:val="24"/>
          <w:szCs w:val="24"/>
          <w:lang w:val="en-US"/>
        </w:rPr>
        <w:t xml:space="preserve">policymakers to reach an agreement. Furthermore, once an output emerges as the end product of a protracted and painful internal process, it is often locked in, curtailing the EU </w:t>
      </w:r>
      <w:r w:rsidR="00096DAB" w:rsidRPr="00E77AF9">
        <w:rPr>
          <w:rFonts w:ascii="Garamond" w:hAnsi="Garamond"/>
          <w:sz w:val="24"/>
          <w:szCs w:val="24"/>
          <w:lang w:val="en-US"/>
        </w:rPr>
        <w:t>negotiating flexibility</w:t>
      </w:r>
      <w:r w:rsidR="00251BE8">
        <w:rPr>
          <w:rFonts w:ascii="Garamond" w:hAnsi="Garamond"/>
          <w:sz w:val="24"/>
          <w:szCs w:val="24"/>
          <w:lang w:val="en-US"/>
        </w:rPr>
        <w:t xml:space="preserve"> and subsequently affecting </w:t>
      </w:r>
      <w:r w:rsidR="00D63B04">
        <w:rPr>
          <w:rFonts w:ascii="Garamond" w:hAnsi="Garamond"/>
          <w:sz w:val="24"/>
          <w:szCs w:val="24"/>
          <w:lang w:val="en-US"/>
        </w:rPr>
        <w:t xml:space="preserve">negatively </w:t>
      </w:r>
      <w:r w:rsidR="00251BE8">
        <w:rPr>
          <w:rFonts w:ascii="Garamond" w:hAnsi="Garamond"/>
          <w:sz w:val="24"/>
          <w:szCs w:val="24"/>
          <w:lang w:val="en-US"/>
        </w:rPr>
        <w:t xml:space="preserve">performance. </w:t>
      </w:r>
      <w:r w:rsidR="00096DAB" w:rsidRPr="00E77AF9">
        <w:rPr>
          <w:rFonts w:ascii="Garamond" w:hAnsi="Garamond"/>
          <w:sz w:val="24"/>
          <w:szCs w:val="24"/>
          <w:lang w:val="en-US"/>
        </w:rPr>
        <w:t>The EU negotiator ha</w:t>
      </w:r>
      <w:r w:rsidR="00535EEF">
        <w:rPr>
          <w:rFonts w:ascii="Garamond" w:hAnsi="Garamond"/>
          <w:sz w:val="24"/>
          <w:szCs w:val="24"/>
          <w:lang w:val="en-US"/>
        </w:rPr>
        <w:t>s to bear in mind constantly this</w:t>
      </w:r>
      <w:r w:rsidR="00096DAB" w:rsidRPr="00E77AF9">
        <w:rPr>
          <w:rFonts w:ascii="Garamond" w:hAnsi="Garamond"/>
          <w:sz w:val="24"/>
          <w:szCs w:val="24"/>
          <w:lang w:val="en-US"/>
        </w:rPr>
        <w:t xml:space="preserve"> </w:t>
      </w:r>
      <w:r w:rsidR="00535EEF">
        <w:rPr>
          <w:rFonts w:ascii="Garamond" w:hAnsi="Garamond"/>
          <w:sz w:val="24"/>
          <w:szCs w:val="24"/>
          <w:lang w:val="en-US"/>
        </w:rPr>
        <w:t>bottleneck</w:t>
      </w:r>
      <w:r w:rsidR="00096DAB" w:rsidRPr="00E77AF9">
        <w:rPr>
          <w:rFonts w:ascii="Garamond" w:hAnsi="Garamond"/>
          <w:sz w:val="24"/>
          <w:szCs w:val="24"/>
          <w:lang w:val="en-US"/>
        </w:rPr>
        <w:t xml:space="preserve"> to avoid </w:t>
      </w:r>
      <w:r w:rsidR="00D63B04">
        <w:rPr>
          <w:rFonts w:ascii="Garamond" w:hAnsi="Garamond"/>
          <w:sz w:val="24"/>
          <w:szCs w:val="24"/>
          <w:lang w:val="en-US"/>
        </w:rPr>
        <w:t xml:space="preserve">possible </w:t>
      </w:r>
      <w:r w:rsidR="00096DAB" w:rsidRPr="00E77AF9">
        <w:rPr>
          <w:rFonts w:ascii="Garamond" w:hAnsi="Garamond"/>
          <w:sz w:val="24"/>
          <w:szCs w:val="24"/>
          <w:lang w:val="en-US"/>
        </w:rPr>
        <w:t>ratification failures</w:t>
      </w:r>
      <w:r w:rsidR="00D63B04">
        <w:rPr>
          <w:rFonts w:ascii="Garamond" w:hAnsi="Garamond"/>
          <w:sz w:val="24"/>
          <w:szCs w:val="24"/>
          <w:lang w:val="en-US"/>
        </w:rPr>
        <w:t xml:space="preserve">. This comes </w:t>
      </w:r>
      <w:r w:rsidR="00096DAB" w:rsidRPr="00E77AF9">
        <w:rPr>
          <w:rFonts w:ascii="Garamond" w:hAnsi="Garamond"/>
          <w:sz w:val="24"/>
          <w:szCs w:val="24"/>
          <w:lang w:val="en-US"/>
        </w:rPr>
        <w:t>at the cost of bargaining effectiveness, missing important opportunities to broker an international agreement (Meunier 2000: 111-2; Meunier and Nicolaidis 1999).</w:t>
      </w:r>
      <w:r w:rsidR="00FD0870" w:rsidRPr="00E77AF9">
        <w:rPr>
          <w:rFonts w:ascii="Garamond" w:hAnsi="Garamond"/>
          <w:sz w:val="24"/>
          <w:szCs w:val="24"/>
          <w:lang w:val="en-US"/>
        </w:rPr>
        <w:t xml:space="preserve"> </w:t>
      </w:r>
    </w:p>
    <w:p w14:paraId="71184962" w14:textId="77777777" w:rsidR="008B2B94" w:rsidRDefault="00251BE8" w:rsidP="00053E62">
      <w:pPr>
        <w:tabs>
          <w:tab w:val="left" w:pos="8364"/>
        </w:tabs>
        <w:ind w:right="-58"/>
        <w:jc w:val="both"/>
        <w:rPr>
          <w:rFonts w:ascii="Garamond" w:hAnsi="Garamond"/>
          <w:sz w:val="24"/>
          <w:szCs w:val="24"/>
          <w:lang w:val="en-US"/>
        </w:rPr>
      </w:pPr>
      <w:r w:rsidRPr="000F5449">
        <w:rPr>
          <w:rFonts w:ascii="Garamond" w:hAnsi="Garamond"/>
          <w:sz w:val="24"/>
          <w:szCs w:val="24"/>
          <w:lang w:val="en-US"/>
        </w:rPr>
        <w:t xml:space="preserve">As regards the outcome perspective, </w:t>
      </w:r>
      <w:r w:rsidR="000F5449">
        <w:rPr>
          <w:rFonts w:ascii="Garamond" w:hAnsi="Garamond"/>
          <w:sz w:val="24"/>
          <w:szCs w:val="24"/>
          <w:lang w:val="en-US"/>
        </w:rPr>
        <w:t>we can identify two sets of parameters, namely r</w:t>
      </w:r>
      <w:r w:rsidR="008B2B94" w:rsidRPr="000F5449">
        <w:rPr>
          <w:rFonts w:ascii="Garamond" w:hAnsi="Garamond"/>
          <w:sz w:val="24"/>
          <w:szCs w:val="24"/>
          <w:lang w:val="en-US"/>
        </w:rPr>
        <w:t>esources</w:t>
      </w:r>
      <w:r w:rsidR="000F5449">
        <w:rPr>
          <w:rFonts w:ascii="Garamond" w:hAnsi="Garamond"/>
          <w:sz w:val="24"/>
          <w:szCs w:val="24"/>
          <w:lang w:val="en-US"/>
        </w:rPr>
        <w:t xml:space="preserve"> and the legal and institutional provisions that delimit the EU international activity. The first set comprises the available EU arsenal in terms of diplomatic, economic and military means of engagement in international affairs. The second set refers to the EU </w:t>
      </w:r>
      <w:r w:rsidR="00535EEF">
        <w:rPr>
          <w:rFonts w:ascii="Garamond" w:hAnsi="Garamond"/>
          <w:sz w:val="24"/>
          <w:szCs w:val="24"/>
          <w:lang w:val="en-US"/>
        </w:rPr>
        <w:t xml:space="preserve">international </w:t>
      </w:r>
      <w:r w:rsidR="000F5449">
        <w:rPr>
          <w:rFonts w:ascii="Garamond" w:hAnsi="Garamond"/>
          <w:sz w:val="24"/>
          <w:szCs w:val="24"/>
          <w:lang w:val="en-US"/>
        </w:rPr>
        <w:t>mandate</w:t>
      </w:r>
      <w:r w:rsidR="00535EEF">
        <w:rPr>
          <w:rFonts w:ascii="Garamond" w:hAnsi="Garamond"/>
          <w:sz w:val="24"/>
          <w:szCs w:val="24"/>
          <w:lang w:val="en-US"/>
        </w:rPr>
        <w:t xml:space="preserve">, i.e. what the EU can do and what remains still in the hands of member-states. It also refers to </w:t>
      </w:r>
      <w:r w:rsidR="000F5449">
        <w:rPr>
          <w:rFonts w:ascii="Garamond" w:hAnsi="Garamond"/>
          <w:sz w:val="24"/>
          <w:szCs w:val="24"/>
          <w:lang w:val="en-US"/>
        </w:rPr>
        <w:t>the institutional</w:t>
      </w:r>
      <w:r w:rsidR="00535EEF">
        <w:rPr>
          <w:rFonts w:ascii="Garamond" w:hAnsi="Garamond"/>
          <w:sz w:val="24"/>
          <w:szCs w:val="24"/>
          <w:lang w:val="en-US"/>
        </w:rPr>
        <w:t xml:space="preserve"> and legal arrangements that have been agreed upon in order to realize this mandate, like for example the legal personality of EU, the institutional novelty of the High Representative and the European External Action Service.</w:t>
      </w:r>
      <w:r w:rsidR="000F5449">
        <w:rPr>
          <w:rFonts w:ascii="Garamond" w:hAnsi="Garamond"/>
          <w:sz w:val="24"/>
          <w:szCs w:val="24"/>
          <w:lang w:val="en-US"/>
        </w:rPr>
        <w:t xml:space="preserve"> </w:t>
      </w:r>
      <w:r w:rsidR="00535EEF">
        <w:rPr>
          <w:rFonts w:ascii="Garamond" w:hAnsi="Garamond"/>
          <w:sz w:val="24"/>
          <w:szCs w:val="24"/>
          <w:lang w:val="en-US"/>
        </w:rPr>
        <w:t xml:space="preserve">Again, there is a positive association between these parameters and the outcome performance of the EU, in the sense that the more available resources there are, the broader the EU mandate, and the more functional the arrangements are, the better the EU should be expected to </w:t>
      </w:r>
      <w:r w:rsidR="00363143">
        <w:rPr>
          <w:rFonts w:ascii="Garamond" w:hAnsi="Garamond"/>
          <w:sz w:val="24"/>
          <w:szCs w:val="24"/>
          <w:lang w:val="en-US"/>
        </w:rPr>
        <w:t xml:space="preserve">perform. </w:t>
      </w:r>
      <w:r w:rsidR="00535EEF">
        <w:rPr>
          <w:rFonts w:ascii="Garamond" w:hAnsi="Garamond"/>
          <w:sz w:val="24"/>
          <w:szCs w:val="24"/>
          <w:lang w:val="en-US"/>
        </w:rPr>
        <w:t xml:space="preserve">  </w:t>
      </w:r>
    </w:p>
    <w:p w14:paraId="4BC42AD7" w14:textId="77777777" w:rsidR="00096DAB" w:rsidRPr="00004ED1" w:rsidRDefault="00C66DE5" w:rsidP="00053E62">
      <w:pPr>
        <w:tabs>
          <w:tab w:val="left" w:pos="8364"/>
        </w:tabs>
        <w:ind w:right="-58"/>
        <w:jc w:val="both"/>
        <w:rPr>
          <w:rFonts w:ascii="Garamond" w:hAnsi="Garamond"/>
          <w:sz w:val="24"/>
          <w:szCs w:val="24"/>
          <w:lang w:val="en-US"/>
        </w:rPr>
      </w:pPr>
      <w:r>
        <w:rPr>
          <w:rFonts w:ascii="Garamond" w:hAnsi="Garamond"/>
          <w:sz w:val="24"/>
          <w:szCs w:val="24"/>
          <w:lang w:val="en-US"/>
        </w:rPr>
        <w:t xml:space="preserve">Finally, at the impact level of performance, we need to consider two interrelated parameters, first, the bargaining power of the EU and second, the role of other international actors, like states, international organizations, and non-governmental organizations. </w:t>
      </w:r>
      <w:r w:rsidR="00087FE7">
        <w:rPr>
          <w:rFonts w:ascii="Garamond" w:hAnsi="Garamond"/>
          <w:sz w:val="24"/>
          <w:szCs w:val="24"/>
          <w:lang w:val="en-US"/>
        </w:rPr>
        <w:t xml:space="preserve">These two parameters merge when we realize that the bargaining power is a relational concept </w:t>
      </w:r>
      <w:r w:rsidR="00096DAB" w:rsidRPr="00087FE7">
        <w:rPr>
          <w:rFonts w:ascii="Garamond" w:hAnsi="Garamond"/>
          <w:sz w:val="24"/>
          <w:szCs w:val="24"/>
          <w:lang w:val="en-US"/>
        </w:rPr>
        <w:t>and that it takes two to tango</w:t>
      </w:r>
      <w:r w:rsidR="00087FE7">
        <w:rPr>
          <w:rFonts w:ascii="Garamond" w:hAnsi="Garamond"/>
          <w:sz w:val="24"/>
          <w:szCs w:val="24"/>
          <w:lang w:val="en-US"/>
        </w:rPr>
        <w:t xml:space="preserve"> (Blavoukos and Bourantonis 2011)</w:t>
      </w:r>
      <w:r w:rsidR="00096DAB" w:rsidRPr="00087FE7">
        <w:rPr>
          <w:rFonts w:ascii="Garamond" w:hAnsi="Garamond"/>
          <w:sz w:val="24"/>
          <w:szCs w:val="24"/>
          <w:lang w:val="en-US"/>
        </w:rPr>
        <w:t xml:space="preserve">. In that sense, the outcome of multilateral negotiations </w:t>
      </w:r>
      <w:r w:rsidR="00087FE7">
        <w:rPr>
          <w:rFonts w:ascii="Garamond" w:hAnsi="Garamond"/>
          <w:sz w:val="24"/>
          <w:szCs w:val="24"/>
          <w:lang w:val="en-US"/>
        </w:rPr>
        <w:t xml:space="preserve">and subsequently the impact performance of the EU </w:t>
      </w:r>
      <w:r w:rsidR="00096DAB" w:rsidRPr="00087FE7">
        <w:rPr>
          <w:rFonts w:ascii="Garamond" w:hAnsi="Garamond"/>
          <w:sz w:val="24"/>
          <w:szCs w:val="24"/>
          <w:lang w:val="en-US"/>
        </w:rPr>
        <w:t xml:space="preserve">are not solely dependent on the EU inputs in the bargaining process; multilateral negotiations are inherently complex processes with their own characteristics and dynamics. Thus, any account of the EU intervention should be heavily contextualized, looking at the structure and content of the specific multilateral negotiations under examination. The negotiation structure refers to the number and attributes of the negotiating partners, revealing patterns of power asymmetries and </w:t>
      </w:r>
      <w:r w:rsidR="00096DAB" w:rsidRPr="00087FE7">
        <w:rPr>
          <w:rFonts w:ascii="Garamond" w:hAnsi="Garamond"/>
          <w:sz w:val="24"/>
          <w:szCs w:val="24"/>
          <w:lang w:val="en-US"/>
        </w:rPr>
        <w:lastRenderedPageBreak/>
        <w:t xml:space="preserve">influence, as well as the stages and sequencing of the negotiations </w:t>
      </w:r>
      <w:r w:rsidR="00096DAB" w:rsidRPr="00087FE7">
        <w:rPr>
          <w:rFonts w:ascii="Garamond" w:hAnsi="Garamond"/>
          <w:i/>
          <w:iCs/>
          <w:sz w:val="24"/>
          <w:szCs w:val="24"/>
          <w:lang w:val="en-US"/>
        </w:rPr>
        <w:t>per se</w:t>
      </w:r>
      <w:r w:rsidR="00096DAB" w:rsidRPr="00087FE7">
        <w:rPr>
          <w:rFonts w:ascii="Garamond" w:hAnsi="Garamond"/>
          <w:sz w:val="24"/>
          <w:szCs w:val="24"/>
          <w:lang w:val="en-US"/>
        </w:rPr>
        <w:t xml:space="preserve"> (Berridge 2005). The negotiation content captures mainly the nature of the bargaining agenda, the main issue there being whether the EU is a reformist </w:t>
      </w:r>
      <w:r w:rsidR="00096DAB" w:rsidRPr="00087FE7">
        <w:rPr>
          <w:rFonts w:ascii="Garamond" w:hAnsi="Garamond"/>
          <w:i/>
          <w:iCs/>
          <w:sz w:val="24"/>
          <w:szCs w:val="24"/>
          <w:lang w:val="en-US"/>
        </w:rPr>
        <w:t>demandeur</w:t>
      </w:r>
      <w:r w:rsidR="00096DAB" w:rsidRPr="00087FE7">
        <w:rPr>
          <w:rFonts w:ascii="Garamond" w:hAnsi="Garamond"/>
          <w:sz w:val="24"/>
          <w:szCs w:val="24"/>
          <w:lang w:val="en-US"/>
        </w:rPr>
        <w:t xml:space="preserve"> or a conservative proponent of the </w:t>
      </w:r>
      <w:r w:rsidR="00096DAB" w:rsidRPr="00087FE7">
        <w:rPr>
          <w:rFonts w:ascii="Garamond" w:hAnsi="Garamond"/>
          <w:i/>
          <w:iCs/>
          <w:sz w:val="24"/>
          <w:szCs w:val="24"/>
          <w:lang w:val="en-US"/>
        </w:rPr>
        <w:t>status quo</w:t>
      </w:r>
      <w:r w:rsidR="00096DAB" w:rsidRPr="00087FE7">
        <w:rPr>
          <w:rFonts w:ascii="Garamond" w:hAnsi="Garamond"/>
          <w:sz w:val="24"/>
          <w:szCs w:val="24"/>
          <w:lang w:val="en-US"/>
        </w:rPr>
        <w:t xml:space="preserve"> (Meunier 2000: 112-15).</w:t>
      </w:r>
    </w:p>
    <w:p w14:paraId="3FAC45DC" w14:textId="77777777" w:rsidR="00096DAB" w:rsidRPr="00004ED1" w:rsidRDefault="00423E0C" w:rsidP="00053E62">
      <w:pPr>
        <w:jc w:val="both"/>
        <w:rPr>
          <w:rFonts w:ascii="Garamond" w:hAnsi="Garamond"/>
          <w:b/>
          <w:sz w:val="24"/>
          <w:szCs w:val="24"/>
          <w:lang w:val="en-US"/>
        </w:rPr>
      </w:pPr>
      <w:r w:rsidRPr="00423E0C">
        <w:rPr>
          <w:lang w:val="en-US"/>
        </w:rPr>
        <w:t xml:space="preserve"> </w:t>
      </w:r>
    </w:p>
    <w:p w14:paraId="4F00D4E6" w14:textId="77777777" w:rsidR="001173A3" w:rsidRDefault="001173A3" w:rsidP="00053E62">
      <w:pPr>
        <w:rPr>
          <w:rFonts w:ascii="Garamond" w:hAnsi="Garamond" w:cs="AdvTimes"/>
          <w:b/>
          <w:sz w:val="24"/>
          <w:szCs w:val="24"/>
          <w:lang w:val="en-US"/>
        </w:rPr>
      </w:pPr>
      <w:r>
        <w:rPr>
          <w:rFonts w:ascii="Garamond" w:hAnsi="Garamond" w:cs="AdvTimes"/>
          <w:b/>
          <w:sz w:val="24"/>
          <w:szCs w:val="24"/>
          <w:lang w:val="en-US"/>
        </w:rPr>
        <w:br w:type="page"/>
      </w:r>
    </w:p>
    <w:p w14:paraId="6DF45C6F" w14:textId="77777777" w:rsidR="00C52013" w:rsidRPr="00004ED1" w:rsidRDefault="00C52013" w:rsidP="00053E62">
      <w:pPr>
        <w:jc w:val="both"/>
        <w:rPr>
          <w:rFonts w:ascii="Garamond" w:hAnsi="Garamond" w:cs="AdvTimes"/>
          <w:b/>
          <w:sz w:val="24"/>
          <w:szCs w:val="24"/>
          <w:lang w:val="en-US"/>
        </w:rPr>
      </w:pPr>
      <w:r w:rsidRPr="00004ED1">
        <w:rPr>
          <w:rFonts w:ascii="Garamond" w:hAnsi="Garamond" w:cs="AdvTimes"/>
          <w:b/>
          <w:sz w:val="24"/>
          <w:szCs w:val="24"/>
          <w:lang w:val="en-US"/>
        </w:rPr>
        <w:lastRenderedPageBreak/>
        <w:t>References</w:t>
      </w:r>
    </w:p>
    <w:p w14:paraId="528B0935" w14:textId="77777777" w:rsidR="00525283" w:rsidRDefault="00525283" w:rsidP="00053E62">
      <w:pPr>
        <w:jc w:val="both"/>
        <w:rPr>
          <w:rFonts w:ascii="Garamond" w:hAnsi="Garamond"/>
          <w:sz w:val="24"/>
          <w:szCs w:val="24"/>
          <w:lang w:val="en-US"/>
        </w:rPr>
      </w:pPr>
      <w:r>
        <w:rPr>
          <w:rFonts w:ascii="Garamond" w:hAnsi="Garamond"/>
          <w:sz w:val="24"/>
          <w:szCs w:val="24"/>
          <w:lang w:val="en-US"/>
        </w:rPr>
        <w:t>Blavoukos, S. and D. Bourantonis (2011) ‘Do UN Sanctions Strengthen the International Presence of the EU?, paper presented at the 18</w:t>
      </w:r>
      <w:r w:rsidRPr="00525283">
        <w:rPr>
          <w:rFonts w:ascii="Garamond" w:hAnsi="Garamond"/>
          <w:sz w:val="24"/>
          <w:szCs w:val="24"/>
          <w:vertAlign w:val="superscript"/>
          <w:lang w:val="en-US"/>
        </w:rPr>
        <w:t>th</w:t>
      </w:r>
      <w:r>
        <w:rPr>
          <w:rFonts w:ascii="Garamond" w:hAnsi="Garamond"/>
          <w:sz w:val="24"/>
          <w:szCs w:val="24"/>
          <w:lang w:val="en-US"/>
        </w:rPr>
        <w:t xml:space="preserve"> International Conference of Europeanists, 20-22 June, Barcelona-Spain.</w:t>
      </w:r>
    </w:p>
    <w:p w14:paraId="3AED0BE6" w14:textId="77777777" w:rsidR="00C52013" w:rsidRPr="00004ED1" w:rsidRDefault="00C52013" w:rsidP="00053E62">
      <w:pPr>
        <w:jc w:val="both"/>
        <w:rPr>
          <w:rFonts w:ascii="Garamond" w:hAnsi="Garamond"/>
          <w:sz w:val="24"/>
          <w:szCs w:val="24"/>
          <w:lang w:val="en-US"/>
        </w:rPr>
      </w:pPr>
      <w:r w:rsidRPr="00004ED1">
        <w:rPr>
          <w:rFonts w:ascii="Garamond" w:hAnsi="Garamond"/>
          <w:sz w:val="24"/>
          <w:szCs w:val="24"/>
          <w:lang w:val="en-US"/>
        </w:rPr>
        <w:t xml:space="preserve">Bretherton, C. and J. Vogler (2006) ‘Conceptualizing actors and actorness’, in C. Bretherton and J. Vogler (eds.) </w:t>
      </w:r>
      <w:r w:rsidRPr="00004ED1">
        <w:rPr>
          <w:rFonts w:ascii="Garamond" w:hAnsi="Garamond"/>
          <w:i/>
          <w:sz w:val="24"/>
          <w:szCs w:val="24"/>
          <w:lang w:val="en-US"/>
        </w:rPr>
        <w:t xml:space="preserve">The European Union as a Global Actor </w:t>
      </w:r>
      <w:r w:rsidRPr="00004ED1">
        <w:rPr>
          <w:rFonts w:ascii="Garamond" w:hAnsi="Garamond"/>
          <w:sz w:val="24"/>
          <w:szCs w:val="24"/>
          <w:lang w:val="en-US"/>
        </w:rPr>
        <w:t>(London: Routledge).</w:t>
      </w:r>
    </w:p>
    <w:p w14:paraId="32EE41A2" w14:textId="77777777" w:rsidR="00C52013" w:rsidRPr="00004ED1" w:rsidRDefault="00C52013" w:rsidP="00053E62">
      <w:pPr>
        <w:jc w:val="both"/>
        <w:rPr>
          <w:rFonts w:ascii="Garamond" w:hAnsi="Garamond"/>
          <w:sz w:val="24"/>
          <w:szCs w:val="24"/>
          <w:lang w:val="en-AU"/>
        </w:rPr>
      </w:pPr>
      <w:r w:rsidRPr="00004ED1">
        <w:rPr>
          <w:rFonts w:ascii="Garamond" w:hAnsi="Garamond"/>
          <w:sz w:val="24"/>
          <w:szCs w:val="24"/>
          <w:lang w:val="en-AU"/>
        </w:rPr>
        <w:t xml:space="preserve">Cosgrove, C. A. and K. J. Twitchett (eds.) </w:t>
      </w:r>
      <w:r w:rsidRPr="00004ED1">
        <w:rPr>
          <w:rFonts w:ascii="Garamond" w:hAnsi="Garamond"/>
          <w:i/>
          <w:sz w:val="24"/>
          <w:szCs w:val="24"/>
          <w:lang w:val="en-AU"/>
        </w:rPr>
        <w:t>The new international actors: the United Nations and the European Economic Community</w:t>
      </w:r>
      <w:r w:rsidRPr="00004ED1">
        <w:rPr>
          <w:rFonts w:ascii="Garamond" w:hAnsi="Garamond"/>
          <w:sz w:val="24"/>
          <w:szCs w:val="24"/>
          <w:lang w:val="en-AU"/>
        </w:rPr>
        <w:t xml:space="preserve"> (London: Macmillan).</w:t>
      </w:r>
    </w:p>
    <w:p w14:paraId="7958BDD6" w14:textId="77777777" w:rsidR="00C52013" w:rsidRPr="00004ED1" w:rsidRDefault="00C52013" w:rsidP="00053E62">
      <w:pPr>
        <w:jc w:val="both"/>
        <w:rPr>
          <w:rFonts w:ascii="Garamond" w:hAnsi="Garamond"/>
          <w:sz w:val="24"/>
          <w:szCs w:val="24"/>
          <w:lang w:val="en-US"/>
        </w:rPr>
      </w:pPr>
      <w:r w:rsidRPr="00004ED1">
        <w:rPr>
          <w:rFonts w:ascii="Garamond" w:hAnsi="Garamond"/>
          <w:sz w:val="24"/>
          <w:szCs w:val="24"/>
          <w:lang w:val="en-US"/>
        </w:rPr>
        <w:t>Groen, L. and A. Niemann (2011) ‘EU actorness and effectiveness under politic</w:t>
      </w:r>
      <w:r>
        <w:rPr>
          <w:rFonts w:ascii="Garamond" w:hAnsi="Garamond"/>
          <w:sz w:val="24"/>
          <w:szCs w:val="24"/>
          <w:lang w:val="en-US"/>
        </w:rPr>
        <w:t>a</w:t>
      </w:r>
      <w:r w:rsidRPr="00004ED1">
        <w:rPr>
          <w:rFonts w:ascii="Garamond" w:hAnsi="Garamond"/>
          <w:sz w:val="24"/>
          <w:szCs w:val="24"/>
          <w:lang w:val="en-US"/>
        </w:rPr>
        <w:t>l pressure at the Copenhagen climate change negotiations’, paper presented at 12</w:t>
      </w:r>
      <w:r w:rsidRPr="00004ED1">
        <w:rPr>
          <w:rFonts w:ascii="Garamond" w:hAnsi="Garamond"/>
          <w:sz w:val="24"/>
          <w:szCs w:val="24"/>
          <w:vertAlign w:val="superscript"/>
          <w:lang w:val="en-US"/>
        </w:rPr>
        <w:t>th</w:t>
      </w:r>
      <w:r w:rsidRPr="00004ED1">
        <w:rPr>
          <w:rFonts w:ascii="Garamond" w:hAnsi="Garamond"/>
          <w:sz w:val="24"/>
          <w:szCs w:val="24"/>
          <w:lang w:val="en-US"/>
        </w:rPr>
        <w:t xml:space="preserve"> European Union Studies Association Conference, Boston, Massachusetts, 3-5 March.</w:t>
      </w:r>
    </w:p>
    <w:p w14:paraId="5C77C0B6" w14:textId="77777777" w:rsidR="00C52013" w:rsidRDefault="00C52013" w:rsidP="00053E62">
      <w:pPr>
        <w:jc w:val="both"/>
        <w:rPr>
          <w:rFonts w:ascii="Garamond" w:hAnsi="Garamond"/>
          <w:sz w:val="24"/>
          <w:szCs w:val="24"/>
          <w:lang w:val="en-US"/>
        </w:rPr>
      </w:pPr>
      <w:r w:rsidRPr="00004ED1">
        <w:rPr>
          <w:rFonts w:ascii="Garamond" w:hAnsi="Garamond"/>
          <w:sz w:val="24"/>
          <w:szCs w:val="24"/>
          <w:lang w:val="en-US"/>
        </w:rPr>
        <w:t>Groenleer, M. and L. Van Schaik (2007) ‘United We Stand? The European Union’s International Actorness in the Cases of the International Criminal Court and the Kyoto Protocol’,</w:t>
      </w:r>
      <w:r w:rsidRPr="00004ED1">
        <w:rPr>
          <w:rFonts w:ascii="Garamond" w:hAnsi="Garamond"/>
          <w:i/>
          <w:sz w:val="24"/>
          <w:szCs w:val="24"/>
          <w:lang w:val="en-US"/>
        </w:rPr>
        <w:t xml:space="preserve"> Journal of Common Market Studies</w:t>
      </w:r>
      <w:r w:rsidRPr="00004ED1">
        <w:rPr>
          <w:rFonts w:ascii="Garamond" w:hAnsi="Garamond"/>
          <w:sz w:val="24"/>
          <w:szCs w:val="24"/>
          <w:lang w:val="en-US"/>
        </w:rPr>
        <w:t xml:space="preserve"> 45 (5)</w:t>
      </w:r>
      <w:r>
        <w:rPr>
          <w:rFonts w:ascii="Garamond" w:hAnsi="Garamond"/>
          <w:sz w:val="24"/>
          <w:szCs w:val="24"/>
          <w:lang w:val="en-US"/>
        </w:rPr>
        <w:t>:</w:t>
      </w:r>
      <w:r w:rsidRPr="00004ED1">
        <w:rPr>
          <w:rFonts w:ascii="Garamond" w:hAnsi="Garamond"/>
          <w:sz w:val="24"/>
          <w:szCs w:val="24"/>
          <w:lang w:val="en-US"/>
        </w:rPr>
        <w:t xml:space="preserve"> 969-998.</w:t>
      </w:r>
    </w:p>
    <w:p w14:paraId="7928FDA0" w14:textId="77777777" w:rsidR="00C52013" w:rsidRPr="00004ED1" w:rsidRDefault="00C52013" w:rsidP="00053E62">
      <w:pPr>
        <w:jc w:val="both"/>
        <w:rPr>
          <w:rFonts w:ascii="Garamond" w:hAnsi="Garamond" w:cs="AdvTimes"/>
          <w:sz w:val="24"/>
          <w:szCs w:val="24"/>
          <w:lang w:val="en-US"/>
        </w:rPr>
      </w:pPr>
      <w:r>
        <w:rPr>
          <w:rFonts w:ascii="Garamond" w:hAnsi="Garamond"/>
          <w:sz w:val="24"/>
          <w:szCs w:val="24"/>
          <w:lang w:val="en-US"/>
        </w:rPr>
        <w:t xml:space="preserve">Gutner, T. and A. Thompson (2010) ‘The Politics of IO Performance: A Framework’, </w:t>
      </w:r>
      <w:r>
        <w:rPr>
          <w:rFonts w:ascii="Garamond" w:hAnsi="Garamond"/>
          <w:i/>
          <w:sz w:val="24"/>
          <w:szCs w:val="24"/>
          <w:lang w:val="en-US"/>
        </w:rPr>
        <w:t xml:space="preserve">Review of International Organizations </w:t>
      </w:r>
      <w:r>
        <w:rPr>
          <w:rFonts w:ascii="Garamond" w:hAnsi="Garamond"/>
          <w:sz w:val="24"/>
          <w:szCs w:val="24"/>
          <w:lang w:val="en-US"/>
        </w:rPr>
        <w:t>5, 227-248.</w:t>
      </w:r>
    </w:p>
    <w:p w14:paraId="3496D877" w14:textId="77777777" w:rsidR="00C52013" w:rsidRPr="00004ED1" w:rsidRDefault="00C52013" w:rsidP="00053E62">
      <w:pPr>
        <w:jc w:val="both"/>
        <w:rPr>
          <w:rFonts w:ascii="Garamond" w:hAnsi="Garamond"/>
          <w:sz w:val="24"/>
          <w:szCs w:val="24"/>
          <w:lang w:val="en-US"/>
        </w:rPr>
      </w:pPr>
      <w:r w:rsidRPr="001E0C3D">
        <w:rPr>
          <w:rFonts w:ascii="Garamond" w:hAnsi="Garamond"/>
          <w:sz w:val="24"/>
          <w:szCs w:val="24"/>
          <w:lang w:val="en-US"/>
        </w:rPr>
        <w:t xml:space="preserve">Hill, C. (1993) </w:t>
      </w:r>
      <w:r>
        <w:rPr>
          <w:rFonts w:ascii="Garamond" w:hAnsi="Garamond"/>
          <w:sz w:val="24"/>
          <w:szCs w:val="24"/>
          <w:lang w:val="en-US"/>
        </w:rPr>
        <w:t>‘</w:t>
      </w:r>
      <w:r w:rsidRPr="00004ED1">
        <w:rPr>
          <w:rFonts w:ascii="Garamond" w:hAnsi="Garamond"/>
          <w:sz w:val="24"/>
          <w:szCs w:val="24"/>
          <w:lang w:val="en-US"/>
        </w:rPr>
        <w:t>The Capability–Expectations Gap or Conceptualising Europe's International R</w:t>
      </w:r>
      <w:r>
        <w:rPr>
          <w:rFonts w:ascii="Garamond" w:hAnsi="Garamond"/>
          <w:sz w:val="24"/>
          <w:szCs w:val="24"/>
          <w:lang w:val="en-US"/>
        </w:rPr>
        <w:t>ole’,</w:t>
      </w:r>
      <w:r w:rsidRPr="00004ED1">
        <w:rPr>
          <w:rFonts w:ascii="Garamond" w:hAnsi="Garamond"/>
          <w:sz w:val="24"/>
          <w:szCs w:val="24"/>
          <w:lang w:val="en-US"/>
        </w:rPr>
        <w:t xml:space="preserve"> </w:t>
      </w:r>
      <w:hyperlink r:id="rId7" w:tooltip="Journal of Common Market Studies (page does not exist)" w:history="1">
        <w:r w:rsidRPr="001E0C3D">
          <w:rPr>
            <w:rStyle w:val="Hyperlink"/>
            <w:rFonts w:ascii="Garamond" w:hAnsi="Garamond"/>
            <w:i/>
            <w:color w:val="auto"/>
            <w:sz w:val="24"/>
            <w:szCs w:val="24"/>
            <w:u w:val="none"/>
            <w:lang w:val="en-US"/>
          </w:rPr>
          <w:t>Journal of Common Market Studies</w:t>
        </w:r>
      </w:hyperlink>
      <w:r w:rsidRPr="001E0C3D">
        <w:rPr>
          <w:rFonts w:ascii="Garamond" w:hAnsi="Garamond"/>
          <w:sz w:val="24"/>
          <w:szCs w:val="24"/>
          <w:lang w:val="en-US"/>
        </w:rPr>
        <w:t xml:space="preserve"> 31 (3): 305–328. </w:t>
      </w:r>
    </w:p>
    <w:p w14:paraId="19FB1218" w14:textId="77777777" w:rsidR="00C52013" w:rsidRPr="00004ED1" w:rsidRDefault="00C52013" w:rsidP="00053E62">
      <w:pPr>
        <w:jc w:val="both"/>
        <w:rPr>
          <w:rFonts w:ascii="Garamond" w:hAnsi="Garamond"/>
          <w:sz w:val="24"/>
          <w:szCs w:val="24"/>
          <w:lang w:val="en-US"/>
        </w:rPr>
      </w:pPr>
      <w:r w:rsidRPr="00004ED1">
        <w:rPr>
          <w:rFonts w:ascii="Garamond" w:hAnsi="Garamond"/>
          <w:sz w:val="24"/>
          <w:szCs w:val="24"/>
          <w:lang w:val="en-US"/>
        </w:rPr>
        <w:t xml:space="preserve">Hill, </w:t>
      </w:r>
      <w:r w:rsidRPr="001E0C3D">
        <w:rPr>
          <w:rFonts w:ascii="Garamond" w:hAnsi="Garamond"/>
          <w:sz w:val="24"/>
          <w:szCs w:val="24"/>
          <w:lang w:val="en-US"/>
        </w:rPr>
        <w:t>C</w:t>
      </w:r>
      <w:r w:rsidRPr="00004ED1">
        <w:rPr>
          <w:rFonts w:ascii="Garamond" w:hAnsi="Garamond"/>
          <w:sz w:val="24"/>
          <w:szCs w:val="24"/>
          <w:lang w:val="en-US"/>
        </w:rPr>
        <w:t>.</w:t>
      </w:r>
      <w:r w:rsidRPr="001E0C3D">
        <w:rPr>
          <w:rFonts w:ascii="Garamond" w:hAnsi="Garamond"/>
          <w:sz w:val="24"/>
          <w:szCs w:val="24"/>
          <w:lang w:val="en-US"/>
        </w:rPr>
        <w:t xml:space="preserve"> (1998) </w:t>
      </w:r>
      <w:r>
        <w:rPr>
          <w:rFonts w:ascii="Garamond" w:hAnsi="Garamond"/>
          <w:sz w:val="24"/>
          <w:szCs w:val="24"/>
          <w:lang w:val="en-US"/>
        </w:rPr>
        <w:t>“</w:t>
      </w:r>
      <w:r w:rsidRPr="001E0C3D">
        <w:rPr>
          <w:rFonts w:ascii="Garamond" w:hAnsi="Garamond"/>
          <w:sz w:val="24"/>
          <w:szCs w:val="24"/>
          <w:lang w:val="en-US"/>
        </w:rPr>
        <w:t>Closing the capability–expectations gap</w:t>
      </w:r>
      <w:r>
        <w:rPr>
          <w:rFonts w:ascii="Garamond" w:hAnsi="Garamond"/>
          <w:sz w:val="24"/>
          <w:szCs w:val="24"/>
          <w:lang w:val="en-US"/>
        </w:rPr>
        <w:t>”</w:t>
      </w:r>
      <w:r w:rsidRPr="001E0C3D">
        <w:rPr>
          <w:rFonts w:ascii="Garamond" w:hAnsi="Garamond"/>
          <w:sz w:val="24"/>
          <w:szCs w:val="24"/>
          <w:lang w:val="en-US"/>
        </w:rPr>
        <w:t xml:space="preserve">. </w:t>
      </w:r>
      <w:r w:rsidRPr="00004ED1">
        <w:rPr>
          <w:rFonts w:ascii="Garamond" w:hAnsi="Garamond"/>
          <w:sz w:val="24"/>
          <w:szCs w:val="24"/>
          <w:lang w:val="en-US"/>
        </w:rPr>
        <w:t xml:space="preserve">In John Peterson &amp; Helene Sjursen (eds.) </w:t>
      </w:r>
      <w:r w:rsidRPr="00004ED1">
        <w:rPr>
          <w:rFonts w:ascii="Garamond" w:hAnsi="Garamond"/>
          <w:i/>
          <w:sz w:val="24"/>
          <w:szCs w:val="24"/>
          <w:lang w:val="en-US"/>
        </w:rPr>
        <w:t>A Common Foreign Policy for Europe?: Competing Visions of the CFSP</w:t>
      </w:r>
      <w:r w:rsidRPr="00004ED1">
        <w:rPr>
          <w:rFonts w:ascii="Garamond" w:hAnsi="Garamond"/>
          <w:sz w:val="24"/>
          <w:szCs w:val="24"/>
          <w:lang w:val="en-US"/>
        </w:rPr>
        <w:t xml:space="preserve"> (London: Routledge, pp. 18–38).</w:t>
      </w:r>
    </w:p>
    <w:p w14:paraId="4FF1D36C" w14:textId="77777777" w:rsidR="00C52013" w:rsidRPr="00004ED1" w:rsidRDefault="00C52013" w:rsidP="00053E62">
      <w:pPr>
        <w:jc w:val="both"/>
        <w:rPr>
          <w:rFonts w:ascii="Garamond" w:hAnsi="Garamond" w:cs="AdvTimes"/>
          <w:sz w:val="24"/>
          <w:szCs w:val="24"/>
          <w:lang w:val="en-US"/>
        </w:rPr>
      </w:pPr>
      <w:r w:rsidRPr="00004ED1">
        <w:rPr>
          <w:rFonts w:ascii="Garamond" w:hAnsi="Garamond"/>
          <w:sz w:val="24"/>
          <w:szCs w:val="24"/>
          <w:lang w:val="en-US"/>
        </w:rPr>
        <w:t xml:space="preserve">Hooghe, L. and G. Marks (2009) </w:t>
      </w:r>
      <w:r>
        <w:rPr>
          <w:rFonts w:ascii="Garamond" w:hAnsi="Garamond"/>
          <w:sz w:val="24"/>
          <w:szCs w:val="24"/>
          <w:lang w:val="en-US"/>
        </w:rPr>
        <w:t>‘</w:t>
      </w:r>
      <w:r w:rsidRPr="00004ED1">
        <w:rPr>
          <w:rFonts w:ascii="Garamond" w:hAnsi="Garamond"/>
          <w:sz w:val="24"/>
          <w:szCs w:val="24"/>
          <w:lang w:val="en-US"/>
        </w:rPr>
        <w:t>A Postfunctionalist Theory of European Integration: From Permissive Consensus to Constraining Di</w:t>
      </w:r>
      <w:r>
        <w:rPr>
          <w:rFonts w:ascii="Garamond" w:hAnsi="Garamond"/>
          <w:sz w:val="24"/>
          <w:szCs w:val="24"/>
          <w:lang w:val="en-US"/>
        </w:rPr>
        <w:t>s</w:t>
      </w:r>
      <w:r w:rsidRPr="00004ED1">
        <w:rPr>
          <w:rFonts w:ascii="Garamond" w:hAnsi="Garamond"/>
          <w:sz w:val="24"/>
          <w:szCs w:val="24"/>
          <w:lang w:val="en-US"/>
        </w:rPr>
        <w:t>sensus</w:t>
      </w:r>
      <w:r>
        <w:rPr>
          <w:rFonts w:ascii="Garamond" w:hAnsi="Garamond"/>
          <w:sz w:val="24"/>
          <w:szCs w:val="24"/>
          <w:lang w:val="en-US"/>
        </w:rPr>
        <w:t>’,</w:t>
      </w:r>
      <w:r w:rsidRPr="00004ED1">
        <w:rPr>
          <w:rFonts w:ascii="Garamond" w:hAnsi="Garamond"/>
          <w:sz w:val="24"/>
          <w:szCs w:val="24"/>
          <w:lang w:val="en-US"/>
        </w:rPr>
        <w:t xml:space="preserve"> </w:t>
      </w:r>
      <w:r w:rsidRPr="00004ED1">
        <w:rPr>
          <w:rFonts w:ascii="Garamond" w:hAnsi="Garamond"/>
          <w:i/>
          <w:sz w:val="24"/>
          <w:szCs w:val="24"/>
          <w:lang w:val="en-US"/>
        </w:rPr>
        <w:t>British Journal of Political Science</w:t>
      </w:r>
      <w:r w:rsidRPr="00004ED1">
        <w:rPr>
          <w:rFonts w:ascii="Garamond" w:hAnsi="Garamond" w:cs="AdvTimes"/>
          <w:sz w:val="24"/>
          <w:szCs w:val="24"/>
          <w:lang w:val="en-US"/>
        </w:rPr>
        <w:t xml:space="preserve"> 39(1): 1-23.</w:t>
      </w:r>
    </w:p>
    <w:p w14:paraId="0B48B2A0" w14:textId="77777777" w:rsidR="00C52013" w:rsidRPr="00004ED1" w:rsidRDefault="00C52013" w:rsidP="00053E62">
      <w:pPr>
        <w:jc w:val="both"/>
        <w:rPr>
          <w:rFonts w:ascii="Garamond" w:hAnsi="Garamond"/>
          <w:sz w:val="24"/>
          <w:szCs w:val="24"/>
          <w:lang w:val="en-US"/>
        </w:rPr>
      </w:pPr>
      <w:r w:rsidRPr="00004ED1">
        <w:rPr>
          <w:rStyle w:val="apple-style-span"/>
          <w:rFonts w:ascii="Garamond" w:hAnsi="Garamond"/>
          <w:sz w:val="24"/>
          <w:szCs w:val="24"/>
          <w:lang w:val="en-US"/>
        </w:rPr>
        <w:t xml:space="preserve">Jørgensen, K-E. and S. Oberthür (2011) ‘Introduction: establishing a framework for assessing the EU’s performance in international institutions’, </w:t>
      </w:r>
      <w:r w:rsidRPr="00004ED1">
        <w:rPr>
          <w:rStyle w:val="apple-style-span"/>
          <w:rFonts w:ascii="Garamond" w:hAnsi="Garamond"/>
          <w:i/>
          <w:sz w:val="24"/>
          <w:szCs w:val="24"/>
          <w:lang w:val="en-US"/>
        </w:rPr>
        <w:t>Journal of European Integration</w:t>
      </w:r>
      <w:r w:rsidRPr="00004ED1">
        <w:rPr>
          <w:rFonts w:ascii="Garamond" w:hAnsi="Garamond"/>
          <w:sz w:val="24"/>
          <w:szCs w:val="24"/>
          <w:lang w:val="en-US"/>
        </w:rPr>
        <w:t xml:space="preserve"> 33</w:t>
      </w:r>
      <w:r>
        <w:rPr>
          <w:rFonts w:ascii="Garamond" w:hAnsi="Garamond"/>
          <w:sz w:val="24"/>
          <w:szCs w:val="24"/>
          <w:lang w:val="en-US"/>
        </w:rPr>
        <w:t>(</w:t>
      </w:r>
      <w:r w:rsidRPr="00004ED1">
        <w:rPr>
          <w:rFonts w:ascii="Garamond" w:hAnsi="Garamond"/>
          <w:sz w:val="24"/>
          <w:szCs w:val="24"/>
          <w:lang w:val="en-US"/>
        </w:rPr>
        <w:t>6</w:t>
      </w:r>
      <w:r>
        <w:rPr>
          <w:rFonts w:ascii="Garamond" w:hAnsi="Garamond"/>
          <w:sz w:val="24"/>
          <w:szCs w:val="24"/>
          <w:lang w:val="en-US"/>
        </w:rPr>
        <w:t>):</w:t>
      </w:r>
      <w:r w:rsidRPr="00004ED1">
        <w:rPr>
          <w:rFonts w:ascii="Garamond" w:hAnsi="Garamond"/>
          <w:sz w:val="24"/>
          <w:szCs w:val="24"/>
          <w:lang w:val="en-US"/>
        </w:rPr>
        <w:t xml:space="preserve"> 731-742.</w:t>
      </w:r>
    </w:p>
    <w:p w14:paraId="7EF9562C" w14:textId="77777777" w:rsidR="00C52013" w:rsidRPr="00004ED1" w:rsidRDefault="00C52013" w:rsidP="00053E62">
      <w:pPr>
        <w:jc w:val="both"/>
        <w:rPr>
          <w:rFonts w:ascii="Garamond" w:hAnsi="Garamond"/>
          <w:sz w:val="24"/>
          <w:szCs w:val="24"/>
          <w:lang w:val="en-US"/>
        </w:rPr>
      </w:pPr>
      <w:r w:rsidRPr="00004ED1">
        <w:rPr>
          <w:rStyle w:val="apple-style-span"/>
          <w:rFonts w:ascii="Garamond" w:hAnsi="Garamond"/>
          <w:sz w:val="24"/>
          <w:szCs w:val="24"/>
          <w:lang w:val="en-US"/>
        </w:rPr>
        <w:t xml:space="preserve">Jørgensen, K-E. (2009) ‘The European Union in Multilateral Diplomacy’, </w:t>
      </w:r>
      <w:r w:rsidRPr="00004ED1">
        <w:rPr>
          <w:rStyle w:val="apple-style-span"/>
          <w:rFonts w:ascii="Garamond" w:hAnsi="Garamond"/>
          <w:i/>
          <w:sz w:val="24"/>
          <w:szCs w:val="24"/>
          <w:lang w:val="en-US"/>
        </w:rPr>
        <w:t>The Hague Journal of Diplomacy</w:t>
      </w:r>
      <w:r w:rsidRPr="00004ED1">
        <w:rPr>
          <w:rStyle w:val="apple-style-span"/>
          <w:rFonts w:ascii="Garamond" w:hAnsi="Garamond"/>
          <w:sz w:val="24"/>
          <w:szCs w:val="24"/>
          <w:lang w:val="en-US"/>
        </w:rPr>
        <w:t xml:space="preserve"> 4</w:t>
      </w:r>
      <w:r>
        <w:rPr>
          <w:rStyle w:val="apple-style-span"/>
          <w:rFonts w:ascii="Garamond" w:hAnsi="Garamond"/>
          <w:sz w:val="24"/>
          <w:szCs w:val="24"/>
          <w:lang w:val="en-US"/>
        </w:rPr>
        <w:t xml:space="preserve">: </w:t>
      </w:r>
      <w:r w:rsidRPr="00004ED1">
        <w:rPr>
          <w:rStyle w:val="apple-style-span"/>
          <w:rFonts w:ascii="Garamond" w:hAnsi="Garamond"/>
          <w:sz w:val="24"/>
          <w:szCs w:val="24"/>
          <w:lang w:val="en-US"/>
        </w:rPr>
        <w:t>189-209.</w:t>
      </w:r>
    </w:p>
    <w:p w14:paraId="3E6BE313" w14:textId="77777777" w:rsidR="00C52013" w:rsidRDefault="00C52013" w:rsidP="00053E62">
      <w:pPr>
        <w:jc w:val="both"/>
        <w:rPr>
          <w:rFonts w:ascii="Garamond" w:hAnsi="Garamond"/>
          <w:sz w:val="24"/>
          <w:szCs w:val="24"/>
          <w:lang w:val="en-US"/>
        </w:rPr>
      </w:pPr>
      <w:r w:rsidRPr="00004ED1">
        <w:rPr>
          <w:rFonts w:ascii="Garamond" w:hAnsi="Garamond"/>
          <w:sz w:val="24"/>
          <w:szCs w:val="24"/>
          <w:lang w:val="en-US"/>
        </w:rPr>
        <w:t xml:space="preserve">Jupille, J. and J. A. Caporaso (1998) ‘States, Agency and Rules: the European Union in Global Environmental Politics’, in C. Rhodes (ed.) </w:t>
      </w:r>
      <w:r w:rsidRPr="00004ED1">
        <w:rPr>
          <w:rFonts w:ascii="Garamond" w:hAnsi="Garamond"/>
          <w:i/>
          <w:sz w:val="24"/>
          <w:szCs w:val="24"/>
          <w:lang w:val="en-US"/>
        </w:rPr>
        <w:t>The European Union in the World Community</w:t>
      </w:r>
      <w:r w:rsidRPr="00004ED1">
        <w:rPr>
          <w:rFonts w:ascii="Garamond" w:hAnsi="Garamond"/>
          <w:sz w:val="24"/>
          <w:szCs w:val="24"/>
          <w:lang w:val="en-US"/>
        </w:rPr>
        <w:t xml:space="preserve"> (Boulder, CO: Lynne Rienner), pp. 213-229.</w:t>
      </w:r>
    </w:p>
    <w:p w14:paraId="4BF32AF1" w14:textId="77777777" w:rsidR="00C52013" w:rsidRDefault="00C52013" w:rsidP="00053E62">
      <w:pPr>
        <w:jc w:val="both"/>
        <w:rPr>
          <w:rFonts w:ascii="Garamond" w:hAnsi="Garamond"/>
          <w:sz w:val="24"/>
          <w:szCs w:val="24"/>
          <w:lang w:val="en-US"/>
        </w:rPr>
      </w:pPr>
      <w:r>
        <w:rPr>
          <w:rFonts w:ascii="Garamond" w:hAnsi="Garamond"/>
          <w:sz w:val="24"/>
          <w:szCs w:val="24"/>
          <w:lang w:val="en-US"/>
        </w:rPr>
        <w:t xml:space="preserve">Laatikainen, K. V. and K. E. Smith (2006) “Introduction – The European Union at the United Nations: Leader, Partner or Failure?”, in K. V. Laatikainen and K. E. Smith (eds.) </w:t>
      </w:r>
      <w:r>
        <w:rPr>
          <w:rFonts w:ascii="Garamond" w:hAnsi="Garamond"/>
          <w:i/>
          <w:sz w:val="24"/>
          <w:szCs w:val="24"/>
          <w:lang w:val="en-US"/>
        </w:rPr>
        <w:t>The European Union at the United Nations. Intersecting Multilateralisms</w:t>
      </w:r>
      <w:r>
        <w:rPr>
          <w:rFonts w:ascii="Garamond" w:hAnsi="Garamond"/>
          <w:sz w:val="24"/>
          <w:szCs w:val="24"/>
          <w:lang w:val="en-US"/>
        </w:rPr>
        <w:t xml:space="preserve"> (London: Palgrave Macmillan), pp. 1-23. </w:t>
      </w:r>
    </w:p>
    <w:p w14:paraId="4AC32DA0" w14:textId="77777777" w:rsidR="00C52013" w:rsidRPr="00C66DE5" w:rsidRDefault="00C52013" w:rsidP="00053E62">
      <w:pPr>
        <w:jc w:val="both"/>
        <w:rPr>
          <w:rFonts w:ascii="Garamond" w:hAnsi="Garamond"/>
          <w:sz w:val="24"/>
          <w:szCs w:val="24"/>
          <w:lang w:val="en-US"/>
        </w:rPr>
      </w:pPr>
      <w:r>
        <w:rPr>
          <w:rFonts w:ascii="Garamond" w:hAnsi="Garamond"/>
          <w:sz w:val="24"/>
          <w:szCs w:val="24"/>
          <w:lang w:val="en-US"/>
        </w:rPr>
        <w:lastRenderedPageBreak/>
        <w:t xml:space="preserve">Lipson, M. (2010) ‘Performance under ambiguity: international organization performance in UN peacekeeping’, </w:t>
      </w:r>
      <w:r>
        <w:rPr>
          <w:rFonts w:ascii="Garamond" w:hAnsi="Garamond"/>
          <w:i/>
          <w:sz w:val="24"/>
          <w:szCs w:val="24"/>
          <w:lang w:val="en-US"/>
        </w:rPr>
        <w:t>Review of International Organizations</w:t>
      </w:r>
      <w:r>
        <w:rPr>
          <w:rFonts w:ascii="Garamond" w:hAnsi="Garamond"/>
          <w:sz w:val="24"/>
          <w:szCs w:val="24"/>
          <w:lang w:val="en-US"/>
        </w:rPr>
        <w:t xml:space="preserve"> </w:t>
      </w:r>
      <w:r w:rsidRPr="00C66DE5">
        <w:rPr>
          <w:rFonts w:ascii="Garamond" w:hAnsi="Garamond"/>
          <w:sz w:val="24"/>
          <w:szCs w:val="24"/>
          <w:lang w:val="en-US"/>
        </w:rPr>
        <w:t>5(3): 249-284.</w:t>
      </w:r>
    </w:p>
    <w:p w14:paraId="3CBA374E" w14:textId="77777777" w:rsidR="00C66DE5" w:rsidRPr="00C66DE5" w:rsidRDefault="00C66DE5" w:rsidP="00053E62">
      <w:pPr>
        <w:autoSpaceDE w:val="0"/>
        <w:autoSpaceDN w:val="0"/>
        <w:adjustRightInd w:val="0"/>
        <w:jc w:val="both"/>
        <w:rPr>
          <w:rFonts w:ascii="Garamond" w:hAnsi="Garamond"/>
          <w:sz w:val="24"/>
          <w:szCs w:val="24"/>
          <w:lang w:val="en-US"/>
        </w:rPr>
      </w:pPr>
      <w:r w:rsidRPr="00C66DE5">
        <w:rPr>
          <w:rFonts w:ascii="Garamond" w:hAnsi="Garamond"/>
          <w:sz w:val="24"/>
          <w:szCs w:val="24"/>
          <w:lang w:val="en-US"/>
        </w:rPr>
        <w:t xml:space="preserve">Meunier, S. (2005) </w:t>
      </w:r>
      <w:r w:rsidRPr="00C66DE5">
        <w:rPr>
          <w:rFonts w:ascii="Garamond" w:hAnsi="Garamond"/>
          <w:i/>
          <w:iCs/>
          <w:sz w:val="24"/>
          <w:szCs w:val="24"/>
          <w:lang w:val="en-US"/>
        </w:rPr>
        <w:t>Trading Voices: The European Union in International Commercial Negotiations</w:t>
      </w:r>
      <w:r w:rsidRPr="00C66DE5">
        <w:rPr>
          <w:rFonts w:ascii="Garamond" w:hAnsi="Garamond"/>
          <w:sz w:val="24"/>
          <w:szCs w:val="24"/>
          <w:lang w:val="en-US"/>
        </w:rPr>
        <w:t xml:space="preserve"> (Princeton, NJ: Princeton University Press).</w:t>
      </w:r>
    </w:p>
    <w:p w14:paraId="4EE87F8E" w14:textId="77777777" w:rsidR="00C66DE5" w:rsidRPr="00C66DE5" w:rsidRDefault="00C66DE5" w:rsidP="00053E62">
      <w:pPr>
        <w:jc w:val="both"/>
        <w:rPr>
          <w:rFonts w:ascii="Garamond" w:hAnsi="Garamond"/>
          <w:sz w:val="24"/>
          <w:szCs w:val="24"/>
          <w:lang w:val="en-US"/>
        </w:rPr>
      </w:pPr>
      <w:r w:rsidRPr="00C66DE5">
        <w:rPr>
          <w:rFonts w:ascii="Garamond" w:hAnsi="Garamond"/>
          <w:sz w:val="24"/>
          <w:szCs w:val="24"/>
          <w:lang w:val="en-US"/>
        </w:rPr>
        <w:t>Meunier, S. (2000) ‘What Single Voice? European Institutions an</w:t>
      </w:r>
      <w:smartTag w:uri="urn:schemas-microsoft-com:office:smarttags" w:element="PersonName">
        <w:r w:rsidRPr="00C66DE5">
          <w:rPr>
            <w:rFonts w:ascii="Garamond" w:hAnsi="Garamond"/>
            <w:sz w:val="24"/>
            <w:szCs w:val="24"/>
            <w:lang w:val="en-US"/>
          </w:rPr>
          <w:t>d</w:t>
        </w:r>
      </w:smartTag>
      <w:r w:rsidRPr="00C66DE5">
        <w:rPr>
          <w:rFonts w:ascii="Garamond" w:hAnsi="Garamond"/>
          <w:sz w:val="24"/>
          <w:szCs w:val="24"/>
          <w:lang w:val="en-US"/>
        </w:rPr>
        <w:t xml:space="preserve"> EU-U.S. Tra</w:t>
      </w:r>
      <w:smartTag w:uri="urn:schemas-microsoft-com:office:smarttags" w:element="PersonName">
        <w:r w:rsidRPr="00C66DE5">
          <w:rPr>
            <w:rFonts w:ascii="Garamond" w:hAnsi="Garamond"/>
            <w:sz w:val="24"/>
            <w:szCs w:val="24"/>
            <w:lang w:val="en-US"/>
          </w:rPr>
          <w:t>d</w:t>
        </w:r>
      </w:smartTag>
      <w:r w:rsidRPr="00C66DE5">
        <w:rPr>
          <w:rFonts w:ascii="Garamond" w:hAnsi="Garamond"/>
          <w:sz w:val="24"/>
          <w:szCs w:val="24"/>
          <w:lang w:val="en-US"/>
        </w:rPr>
        <w:t xml:space="preserve">e Negotiations’, </w:t>
      </w:r>
      <w:r w:rsidRPr="00C66DE5">
        <w:rPr>
          <w:rFonts w:ascii="Garamond" w:hAnsi="Garamond"/>
          <w:i/>
          <w:sz w:val="24"/>
          <w:szCs w:val="24"/>
          <w:lang w:val="en-US"/>
        </w:rPr>
        <w:t>International Organization</w:t>
      </w:r>
      <w:r w:rsidRPr="00C66DE5">
        <w:rPr>
          <w:rFonts w:ascii="Garamond" w:hAnsi="Garamond"/>
          <w:sz w:val="24"/>
          <w:szCs w:val="24"/>
          <w:lang w:val="en-US"/>
        </w:rPr>
        <w:t xml:space="preserve">, 54 (1), pp. 103-135. </w:t>
      </w:r>
    </w:p>
    <w:p w14:paraId="48724AB8" w14:textId="77777777" w:rsidR="00C66DE5" w:rsidRPr="00C66DE5" w:rsidRDefault="00C66DE5" w:rsidP="00053E62">
      <w:pPr>
        <w:jc w:val="both"/>
        <w:rPr>
          <w:rFonts w:ascii="Garamond" w:hAnsi="Garamond"/>
          <w:sz w:val="24"/>
          <w:szCs w:val="24"/>
          <w:lang w:val="en-US"/>
        </w:rPr>
      </w:pPr>
      <w:r w:rsidRPr="00C66DE5">
        <w:rPr>
          <w:rFonts w:ascii="Garamond" w:hAnsi="Garamond"/>
          <w:sz w:val="24"/>
          <w:szCs w:val="24"/>
          <w:lang w:val="en-US"/>
        </w:rPr>
        <w:t xml:space="preserve">Meunier, S. and K. Nicolaidis (1999) ‘Who speaks for Europe? The delegation of trade authority in the EU’, </w:t>
      </w:r>
      <w:r w:rsidRPr="00C66DE5">
        <w:rPr>
          <w:rFonts w:ascii="Garamond" w:hAnsi="Garamond"/>
          <w:i/>
          <w:sz w:val="24"/>
          <w:szCs w:val="24"/>
          <w:lang w:val="en-US"/>
        </w:rPr>
        <w:t>Journal of Common Market Studies</w:t>
      </w:r>
      <w:r w:rsidRPr="00C66DE5">
        <w:rPr>
          <w:rFonts w:ascii="Garamond" w:hAnsi="Garamond"/>
          <w:sz w:val="24"/>
          <w:szCs w:val="24"/>
          <w:lang w:val="en-US"/>
        </w:rPr>
        <w:t>, 37, pp. 477-501.</w:t>
      </w:r>
    </w:p>
    <w:p w14:paraId="63A95067" w14:textId="77777777" w:rsidR="00C52013" w:rsidRPr="006A26E5" w:rsidRDefault="00C52013" w:rsidP="00053E62">
      <w:pPr>
        <w:jc w:val="both"/>
        <w:rPr>
          <w:rFonts w:ascii="Garamond" w:hAnsi="Garamond"/>
          <w:sz w:val="24"/>
          <w:szCs w:val="24"/>
          <w:lang w:val="en-US"/>
        </w:rPr>
      </w:pPr>
      <w:r w:rsidRPr="006A26E5">
        <w:rPr>
          <w:rFonts w:ascii="Garamond" w:hAnsi="Garamond"/>
          <w:sz w:val="24"/>
          <w:szCs w:val="24"/>
          <w:lang w:val="en-US"/>
        </w:rPr>
        <w:t xml:space="preserve">Mitchell, R.B. (2008) ‘Evaluating the </w:t>
      </w:r>
      <w:r>
        <w:rPr>
          <w:rFonts w:ascii="Garamond" w:hAnsi="Garamond"/>
          <w:sz w:val="24"/>
          <w:szCs w:val="24"/>
          <w:lang w:val="en-US"/>
        </w:rPr>
        <w:t>p</w:t>
      </w:r>
      <w:r w:rsidRPr="006A26E5">
        <w:rPr>
          <w:rFonts w:ascii="Garamond" w:hAnsi="Garamond"/>
          <w:sz w:val="24"/>
          <w:szCs w:val="24"/>
          <w:lang w:val="en-US"/>
        </w:rPr>
        <w:t xml:space="preserve">erformance of </w:t>
      </w:r>
      <w:r>
        <w:rPr>
          <w:rFonts w:ascii="Garamond" w:hAnsi="Garamond"/>
          <w:sz w:val="24"/>
          <w:szCs w:val="24"/>
          <w:lang w:val="en-US"/>
        </w:rPr>
        <w:t>e</w:t>
      </w:r>
      <w:r w:rsidRPr="006A26E5">
        <w:rPr>
          <w:rFonts w:ascii="Garamond" w:hAnsi="Garamond"/>
          <w:sz w:val="24"/>
          <w:szCs w:val="24"/>
          <w:lang w:val="en-US"/>
        </w:rPr>
        <w:t xml:space="preserve">nvironmental </w:t>
      </w:r>
      <w:r>
        <w:rPr>
          <w:rFonts w:ascii="Garamond" w:hAnsi="Garamond"/>
          <w:sz w:val="24"/>
          <w:szCs w:val="24"/>
          <w:lang w:val="en-US"/>
        </w:rPr>
        <w:t>i</w:t>
      </w:r>
      <w:r w:rsidRPr="006A26E5">
        <w:rPr>
          <w:rFonts w:ascii="Garamond" w:hAnsi="Garamond"/>
          <w:sz w:val="24"/>
          <w:szCs w:val="24"/>
          <w:lang w:val="en-US"/>
        </w:rPr>
        <w:t xml:space="preserve">nstitutions: What to </w:t>
      </w:r>
      <w:r>
        <w:rPr>
          <w:rFonts w:ascii="Garamond" w:hAnsi="Garamond"/>
          <w:sz w:val="24"/>
          <w:szCs w:val="24"/>
          <w:lang w:val="en-US"/>
        </w:rPr>
        <w:t>e</w:t>
      </w:r>
      <w:r w:rsidRPr="006A26E5">
        <w:rPr>
          <w:rFonts w:ascii="Garamond" w:hAnsi="Garamond"/>
          <w:sz w:val="24"/>
          <w:szCs w:val="24"/>
          <w:lang w:val="en-US"/>
        </w:rPr>
        <w:t xml:space="preserve">valuate and </w:t>
      </w:r>
      <w:r>
        <w:rPr>
          <w:rFonts w:ascii="Garamond" w:hAnsi="Garamond"/>
          <w:sz w:val="24"/>
          <w:szCs w:val="24"/>
          <w:lang w:val="en-US"/>
        </w:rPr>
        <w:t>h</w:t>
      </w:r>
      <w:r w:rsidRPr="006A26E5">
        <w:rPr>
          <w:rFonts w:ascii="Garamond" w:hAnsi="Garamond"/>
          <w:sz w:val="24"/>
          <w:szCs w:val="24"/>
          <w:lang w:val="en-US"/>
        </w:rPr>
        <w:t xml:space="preserve">ow to evaluate it’, in O. Young, L. King and H. Schroeder (eds) </w:t>
      </w:r>
      <w:r w:rsidRPr="006A26E5">
        <w:rPr>
          <w:rFonts w:ascii="Garamond" w:hAnsi="Garamond"/>
          <w:i/>
          <w:iCs/>
          <w:sz w:val="24"/>
          <w:szCs w:val="24"/>
          <w:lang w:val="en-US"/>
        </w:rPr>
        <w:t>Institutions and Environmental Change: Principal Findings, Applications and Research</w:t>
      </w:r>
      <w:r w:rsidRPr="006A26E5">
        <w:rPr>
          <w:rFonts w:ascii="Garamond" w:hAnsi="Garamond"/>
          <w:sz w:val="24"/>
          <w:szCs w:val="24"/>
          <w:lang w:val="en-US"/>
        </w:rPr>
        <w:t xml:space="preserve"> </w:t>
      </w:r>
      <w:r w:rsidRPr="006A26E5">
        <w:rPr>
          <w:rFonts w:ascii="Garamond" w:hAnsi="Garamond"/>
          <w:i/>
          <w:sz w:val="24"/>
          <w:szCs w:val="24"/>
          <w:lang w:val="en-US"/>
        </w:rPr>
        <w:t>Frontiers</w:t>
      </w:r>
      <w:r w:rsidRPr="006A26E5">
        <w:rPr>
          <w:rFonts w:ascii="Garamond" w:hAnsi="Garamond"/>
          <w:sz w:val="24"/>
          <w:szCs w:val="24"/>
          <w:lang w:val="en-US"/>
        </w:rPr>
        <w:t xml:space="preserve"> (Cambridge, Cambridge University Press</w:t>
      </w:r>
      <w:r>
        <w:rPr>
          <w:rFonts w:ascii="Garamond" w:hAnsi="Garamond"/>
          <w:sz w:val="24"/>
          <w:szCs w:val="24"/>
          <w:lang w:val="en-US"/>
        </w:rPr>
        <w:t>)</w:t>
      </w:r>
      <w:r w:rsidRPr="006A26E5">
        <w:rPr>
          <w:rFonts w:ascii="Garamond" w:hAnsi="Garamond"/>
          <w:sz w:val="24"/>
          <w:szCs w:val="24"/>
          <w:lang w:val="en-US"/>
        </w:rPr>
        <w:t>, pp. 79-114.</w:t>
      </w:r>
    </w:p>
    <w:p w14:paraId="717E7E45" w14:textId="77777777" w:rsidR="00C52013" w:rsidRDefault="00C52013" w:rsidP="00053E62">
      <w:pPr>
        <w:jc w:val="both"/>
        <w:rPr>
          <w:rFonts w:ascii="Garamond" w:hAnsi="Garamond"/>
          <w:sz w:val="24"/>
          <w:szCs w:val="24"/>
          <w:lang w:val="en-US"/>
        </w:rPr>
      </w:pPr>
      <w:r w:rsidRPr="00004ED1">
        <w:rPr>
          <w:rFonts w:ascii="Garamond" w:hAnsi="Garamond"/>
          <w:sz w:val="24"/>
          <w:szCs w:val="24"/>
          <w:lang w:val="en-US"/>
        </w:rPr>
        <w:t xml:space="preserve">Sjöstedt, G. (1977) </w:t>
      </w:r>
      <w:r w:rsidRPr="00004ED1">
        <w:rPr>
          <w:rFonts w:ascii="Garamond" w:hAnsi="Garamond"/>
          <w:i/>
          <w:sz w:val="24"/>
          <w:szCs w:val="24"/>
          <w:lang w:val="en-US"/>
        </w:rPr>
        <w:t>The External Role of the European Community</w:t>
      </w:r>
      <w:r w:rsidRPr="00004ED1">
        <w:rPr>
          <w:rFonts w:ascii="Garamond" w:hAnsi="Garamond"/>
          <w:sz w:val="24"/>
          <w:szCs w:val="24"/>
          <w:lang w:val="en-US"/>
        </w:rPr>
        <w:t xml:space="preserve"> (Saxon House: Swedish Institute of International Affairs).</w:t>
      </w:r>
    </w:p>
    <w:p w14:paraId="1CBF0AC4" w14:textId="77777777" w:rsidR="00C66DE5" w:rsidRPr="00C66DE5" w:rsidRDefault="00C66DE5" w:rsidP="00053E62">
      <w:pPr>
        <w:pStyle w:val="BodyTextIndent"/>
        <w:spacing w:line="276" w:lineRule="auto"/>
        <w:ind w:firstLine="0"/>
        <w:jc w:val="both"/>
        <w:rPr>
          <w:rFonts w:ascii="Garamond" w:hAnsi="Garamond"/>
          <w:sz w:val="24"/>
        </w:rPr>
      </w:pPr>
      <w:r w:rsidRPr="00C66DE5">
        <w:rPr>
          <w:rFonts w:ascii="Garamond" w:hAnsi="Garamond"/>
          <w:sz w:val="24"/>
        </w:rPr>
        <w:t xml:space="preserve">Tsebelis, G. (2002) </w:t>
      </w:r>
      <w:r w:rsidRPr="00C66DE5">
        <w:rPr>
          <w:rFonts w:ascii="Garamond" w:hAnsi="Garamond"/>
          <w:i/>
          <w:sz w:val="24"/>
        </w:rPr>
        <w:t>Veto Players: How Political Institutions Work</w:t>
      </w:r>
      <w:r w:rsidRPr="00C66DE5">
        <w:rPr>
          <w:rFonts w:ascii="Garamond" w:hAnsi="Garamond"/>
          <w:sz w:val="24"/>
        </w:rPr>
        <w:t xml:space="preserve"> (</w:t>
      </w:r>
      <w:smartTag w:uri="urn:schemas-microsoft-com:office:smarttags" w:element="place">
        <w:r w:rsidRPr="00C66DE5">
          <w:rPr>
            <w:rFonts w:ascii="Garamond" w:hAnsi="Garamond"/>
            <w:sz w:val="24"/>
          </w:rPr>
          <w:t>Princeton</w:t>
        </w:r>
      </w:smartTag>
      <w:r w:rsidRPr="00C66DE5">
        <w:rPr>
          <w:rFonts w:ascii="Garamond" w:hAnsi="Garamond"/>
          <w:sz w:val="24"/>
        </w:rPr>
        <w:t xml:space="preserve">: </w:t>
      </w:r>
      <w:smartTag w:uri="urn:schemas-microsoft-com:office:smarttags" w:element="place">
        <w:smartTag w:uri="urn:schemas-microsoft-com:office:smarttags" w:element="PlaceName">
          <w:r w:rsidRPr="00C66DE5">
            <w:rPr>
              <w:rFonts w:ascii="Garamond" w:hAnsi="Garamond"/>
              <w:sz w:val="24"/>
            </w:rPr>
            <w:t>Princeton</w:t>
          </w:r>
        </w:smartTag>
        <w:r w:rsidRPr="00C66DE5">
          <w:rPr>
            <w:rFonts w:ascii="Garamond" w:hAnsi="Garamond"/>
            <w:sz w:val="24"/>
          </w:rPr>
          <w:t xml:space="preserve"> </w:t>
        </w:r>
        <w:smartTag w:uri="urn:schemas-microsoft-com:office:smarttags" w:element="PlaceType">
          <w:r w:rsidRPr="00C66DE5">
            <w:rPr>
              <w:rFonts w:ascii="Garamond" w:hAnsi="Garamond"/>
              <w:sz w:val="24"/>
            </w:rPr>
            <w:t>University</w:t>
          </w:r>
        </w:smartTag>
      </w:smartTag>
      <w:r w:rsidRPr="00C66DE5">
        <w:rPr>
          <w:rFonts w:ascii="Garamond" w:hAnsi="Garamond"/>
          <w:sz w:val="24"/>
        </w:rPr>
        <w:t xml:space="preserve"> Press).</w:t>
      </w:r>
    </w:p>
    <w:p w14:paraId="680CB1AE" w14:textId="77777777" w:rsidR="00C66DE5" w:rsidRPr="00C66DE5" w:rsidRDefault="00C66DE5" w:rsidP="00053E62">
      <w:pPr>
        <w:pStyle w:val="BodyTextIndent"/>
        <w:spacing w:line="276" w:lineRule="auto"/>
        <w:ind w:firstLine="0"/>
        <w:jc w:val="both"/>
        <w:rPr>
          <w:rFonts w:ascii="Garamond" w:hAnsi="Garamond"/>
          <w:sz w:val="24"/>
        </w:rPr>
      </w:pPr>
      <w:r w:rsidRPr="00C66DE5">
        <w:rPr>
          <w:rFonts w:ascii="Garamond" w:hAnsi="Garamond"/>
          <w:sz w:val="24"/>
        </w:rPr>
        <w:t xml:space="preserve">Tsebelis, G. (1995) ‘Decision Making in Political Systems’, </w:t>
      </w:r>
      <w:r w:rsidRPr="00C66DE5">
        <w:rPr>
          <w:rFonts w:ascii="Garamond" w:hAnsi="Garamond"/>
          <w:i/>
          <w:sz w:val="24"/>
        </w:rPr>
        <w:t>British Journal of Political Science</w:t>
      </w:r>
      <w:r w:rsidRPr="00C66DE5">
        <w:rPr>
          <w:rFonts w:ascii="Garamond" w:hAnsi="Garamond"/>
          <w:sz w:val="24"/>
        </w:rPr>
        <w:t>, 25(3), pp. 289-325.</w:t>
      </w:r>
    </w:p>
    <w:p w14:paraId="4A094E0E" w14:textId="77777777" w:rsidR="00C52013" w:rsidRPr="00756894" w:rsidRDefault="00C52013" w:rsidP="00053E62">
      <w:pPr>
        <w:jc w:val="both"/>
        <w:rPr>
          <w:rFonts w:ascii="Garamond" w:hAnsi="Garamond"/>
          <w:i/>
          <w:sz w:val="24"/>
          <w:szCs w:val="24"/>
          <w:lang w:val="en-US"/>
        </w:rPr>
      </w:pPr>
      <w:r>
        <w:rPr>
          <w:rFonts w:ascii="Garamond" w:hAnsi="Garamond"/>
          <w:sz w:val="24"/>
          <w:szCs w:val="24"/>
          <w:lang w:val="en-US"/>
        </w:rPr>
        <w:t xml:space="preserve">Young, O. (1999) </w:t>
      </w:r>
      <w:r>
        <w:rPr>
          <w:rFonts w:ascii="Garamond" w:hAnsi="Garamond"/>
          <w:i/>
          <w:sz w:val="24"/>
          <w:szCs w:val="24"/>
          <w:lang w:val="en-US"/>
        </w:rPr>
        <w:t xml:space="preserve">The effectiveness of international environmental regimes: Causal connections and behavioral mechanisms </w:t>
      </w:r>
      <w:r w:rsidRPr="00756894">
        <w:rPr>
          <w:rFonts w:ascii="Garamond" w:hAnsi="Garamond"/>
          <w:sz w:val="24"/>
          <w:szCs w:val="24"/>
          <w:lang w:val="en-US"/>
        </w:rPr>
        <w:t>(Cambridge: MIT Press)</w:t>
      </w:r>
      <w:r>
        <w:rPr>
          <w:rFonts w:ascii="Garamond" w:hAnsi="Garamond"/>
          <w:sz w:val="24"/>
          <w:szCs w:val="24"/>
          <w:lang w:val="en-US"/>
        </w:rPr>
        <w:t>.</w:t>
      </w:r>
    </w:p>
    <w:p w14:paraId="620453DD" w14:textId="77777777" w:rsidR="008B2B94" w:rsidRDefault="008B2B94" w:rsidP="00053E62">
      <w:pPr>
        <w:rPr>
          <w:rFonts w:ascii="Garamond" w:hAnsi="Garamond"/>
          <w:sz w:val="24"/>
          <w:szCs w:val="24"/>
          <w:lang w:val="en-US"/>
        </w:rPr>
      </w:pPr>
      <w:r>
        <w:rPr>
          <w:rFonts w:ascii="Garamond" w:hAnsi="Garamond"/>
          <w:sz w:val="24"/>
          <w:szCs w:val="24"/>
          <w:lang w:val="en-US"/>
        </w:rPr>
        <w:br w:type="page"/>
      </w:r>
    </w:p>
    <w:tbl>
      <w:tblPr>
        <w:tblStyle w:val="MediumGrid1"/>
        <w:tblW w:w="9073" w:type="dxa"/>
        <w:tblInd w:w="-318" w:type="dxa"/>
        <w:tblLook w:val="04A0" w:firstRow="1" w:lastRow="0" w:firstColumn="1" w:lastColumn="0" w:noHBand="0" w:noVBand="1"/>
      </w:tblPr>
      <w:tblGrid>
        <w:gridCol w:w="3120"/>
        <w:gridCol w:w="3118"/>
        <w:gridCol w:w="2835"/>
      </w:tblGrid>
      <w:tr w:rsidR="008B2B94" w:rsidRPr="00447887" w14:paraId="7306070F" w14:textId="77777777" w:rsidTr="00341B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3" w:type="dxa"/>
            <w:gridSpan w:val="3"/>
          </w:tcPr>
          <w:p w14:paraId="5B122AE3" w14:textId="77777777" w:rsidR="00341BFC" w:rsidRDefault="00341BFC" w:rsidP="00053E62">
            <w:pPr>
              <w:spacing w:line="276" w:lineRule="auto"/>
              <w:jc w:val="center"/>
              <w:rPr>
                <w:rFonts w:ascii="Garamond" w:hAnsi="Garamond"/>
                <w:sz w:val="24"/>
                <w:szCs w:val="24"/>
                <w:lang w:val="en-US"/>
              </w:rPr>
            </w:pPr>
          </w:p>
          <w:p w14:paraId="63042BFE" w14:textId="77777777" w:rsidR="00341BFC" w:rsidRPr="00341BFC" w:rsidRDefault="00341BFC" w:rsidP="00053E62">
            <w:pPr>
              <w:spacing w:line="276" w:lineRule="auto"/>
              <w:jc w:val="center"/>
              <w:rPr>
                <w:rFonts w:ascii="Garamond" w:hAnsi="Garamond"/>
                <w:sz w:val="28"/>
                <w:szCs w:val="28"/>
                <w:lang w:val="en-US"/>
              </w:rPr>
            </w:pPr>
            <w:r w:rsidRPr="00341BFC">
              <w:rPr>
                <w:rFonts w:ascii="Garamond" w:hAnsi="Garamond"/>
                <w:sz w:val="28"/>
                <w:szCs w:val="28"/>
                <w:lang w:val="en-US"/>
              </w:rPr>
              <w:t xml:space="preserve">TABLE 1: THREE </w:t>
            </w:r>
            <w:r w:rsidR="008B2B94" w:rsidRPr="00341BFC">
              <w:rPr>
                <w:rFonts w:ascii="Garamond" w:hAnsi="Garamond"/>
                <w:sz w:val="28"/>
                <w:szCs w:val="28"/>
                <w:lang w:val="en-US"/>
              </w:rPr>
              <w:t>LEVEL</w:t>
            </w:r>
            <w:r w:rsidRPr="00341BFC">
              <w:rPr>
                <w:rFonts w:ascii="Garamond" w:hAnsi="Garamond"/>
                <w:sz w:val="28"/>
                <w:szCs w:val="28"/>
                <w:lang w:val="en-US"/>
              </w:rPr>
              <w:t>S</w:t>
            </w:r>
            <w:r w:rsidR="008B2B94" w:rsidRPr="00341BFC">
              <w:rPr>
                <w:rFonts w:ascii="Garamond" w:hAnsi="Garamond"/>
                <w:sz w:val="28"/>
                <w:szCs w:val="28"/>
                <w:lang w:val="en-US"/>
              </w:rPr>
              <w:t xml:space="preserve"> OF </w:t>
            </w:r>
            <w:r w:rsidRPr="00341BFC">
              <w:rPr>
                <w:rFonts w:ascii="Garamond" w:hAnsi="Garamond"/>
                <w:sz w:val="28"/>
                <w:szCs w:val="28"/>
                <w:lang w:val="en-US"/>
              </w:rPr>
              <w:t xml:space="preserve">PERFORMANCE </w:t>
            </w:r>
            <w:r w:rsidR="008B2B94" w:rsidRPr="00341BFC">
              <w:rPr>
                <w:rFonts w:ascii="Garamond" w:hAnsi="Garamond"/>
                <w:sz w:val="28"/>
                <w:szCs w:val="28"/>
                <w:lang w:val="en-US"/>
              </w:rPr>
              <w:t>ANALYSIS</w:t>
            </w:r>
          </w:p>
          <w:p w14:paraId="32188DD6" w14:textId="77777777" w:rsidR="00341BFC" w:rsidRDefault="00341BFC" w:rsidP="00053E62">
            <w:pPr>
              <w:spacing w:line="276" w:lineRule="auto"/>
              <w:jc w:val="center"/>
              <w:rPr>
                <w:rFonts w:ascii="Garamond" w:hAnsi="Garamond"/>
                <w:sz w:val="24"/>
                <w:szCs w:val="24"/>
                <w:lang w:val="en-US"/>
              </w:rPr>
            </w:pPr>
          </w:p>
        </w:tc>
      </w:tr>
      <w:tr w:rsidR="00341BFC" w14:paraId="21CC45E3" w14:textId="77777777" w:rsidTr="00341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4949ACC1" w14:textId="77777777" w:rsidR="008B2B94" w:rsidRPr="00341BFC" w:rsidRDefault="008B2B94" w:rsidP="00053E62">
            <w:pPr>
              <w:spacing w:line="276" w:lineRule="auto"/>
              <w:jc w:val="center"/>
              <w:rPr>
                <w:rFonts w:ascii="Garamond" w:hAnsi="Garamond"/>
                <w:sz w:val="26"/>
                <w:szCs w:val="26"/>
                <w:lang w:val="en-US"/>
              </w:rPr>
            </w:pPr>
            <w:r w:rsidRPr="00341BFC">
              <w:rPr>
                <w:rFonts w:ascii="Garamond" w:hAnsi="Garamond"/>
                <w:sz w:val="26"/>
                <w:szCs w:val="26"/>
                <w:lang w:val="en-US"/>
              </w:rPr>
              <w:t>OUTPUT</w:t>
            </w:r>
            <w:r w:rsidR="00341BFC" w:rsidRPr="00341BFC">
              <w:rPr>
                <w:rFonts w:ascii="Garamond" w:hAnsi="Garamond"/>
                <w:sz w:val="26"/>
                <w:szCs w:val="26"/>
                <w:lang w:val="en-US"/>
              </w:rPr>
              <w:t xml:space="preserve"> (micro-level)</w:t>
            </w:r>
          </w:p>
        </w:tc>
        <w:tc>
          <w:tcPr>
            <w:tcW w:w="3118" w:type="dxa"/>
          </w:tcPr>
          <w:p w14:paraId="2A754DF1" w14:textId="77777777" w:rsidR="008B2B94" w:rsidRPr="00341BFC" w:rsidRDefault="008B2B94" w:rsidP="00053E62">
            <w:pPr>
              <w:spacing w:line="276" w:lineRule="auto"/>
              <w:jc w:val="center"/>
              <w:cnfStyle w:val="000000100000" w:firstRow="0" w:lastRow="0" w:firstColumn="0" w:lastColumn="0" w:oddVBand="0" w:evenVBand="0" w:oddHBand="1" w:evenHBand="0" w:firstRowFirstColumn="0" w:firstRowLastColumn="0" w:lastRowFirstColumn="0" w:lastRowLastColumn="0"/>
              <w:rPr>
                <w:rFonts w:ascii="Garamond" w:hAnsi="Garamond"/>
                <w:b/>
                <w:sz w:val="26"/>
                <w:szCs w:val="26"/>
                <w:lang w:val="en-US"/>
              </w:rPr>
            </w:pPr>
            <w:r w:rsidRPr="00341BFC">
              <w:rPr>
                <w:rFonts w:ascii="Garamond" w:hAnsi="Garamond"/>
                <w:b/>
                <w:sz w:val="26"/>
                <w:szCs w:val="26"/>
                <w:lang w:val="en-US"/>
              </w:rPr>
              <w:t>OUTCOME</w:t>
            </w:r>
            <w:r w:rsidR="00341BFC" w:rsidRPr="00341BFC">
              <w:rPr>
                <w:rFonts w:ascii="Garamond" w:hAnsi="Garamond"/>
                <w:b/>
                <w:sz w:val="26"/>
                <w:szCs w:val="26"/>
                <w:lang w:val="en-US"/>
              </w:rPr>
              <w:t xml:space="preserve"> (meso-level)</w:t>
            </w:r>
          </w:p>
        </w:tc>
        <w:tc>
          <w:tcPr>
            <w:tcW w:w="2835" w:type="dxa"/>
          </w:tcPr>
          <w:p w14:paraId="713BEA9E" w14:textId="77777777" w:rsidR="008B2B94" w:rsidRPr="00341BFC" w:rsidRDefault="008B2B94" w:rsidP="00053E62">
            <w:pPr>
              <w:spacing w:line="276" w:lineRule="auto"/>
              <w:jc w:val="center"/>
              <w:cnfStyle w:val="000000100000" w:firstRow="0" w:lastRow="0" w:firstColumn="0" w:lastColumn="0" w:oddVBand="0" w:evenVBand="0" w:oddHBand="1" w:evenHBand="0" w:firstRowFirstColumn="0" w:firstRowLastColumn="0" w:lastRowFirstColumn="0" w:lastRowLastColumn="0"/>
              <w:rPr>
                <w:rFonts w:ascii="Garamond" w:hAnsi="Garamond"/>
                <w:b/>
                <w:sz w:val="26"/>
                <w:szCs w:val="26"/>
                <w:lang w:val="en-US"/>
              </w:rPr>
            </w:pPr>
            <w:r w:rsidRPr="00341BFC">
              <w:rPr>
                <w:rFonts w:ascii="Garamond" w:hAnsi="Garamond"/>
                <w:b/>
                <w:sz w:val="26"/>
                <w:szCs w:val="26"/>
                <w:lang w:val="en-US"/>
              </w:rPr>
              <w:t>IMPACT</w:t>
            </w:r>
            <w:r w:rsidR="00341BFC" w:rsidRPr="00341BFC">
              <w:rPr>
                <w:rFonts w:ascii="Garamond" w:hAnsi="Garamond"/>
                <w:b/>
                <w:sz w:val="26"/>
                <w:szCs w:val="26"/>
                <w:lang w:val="en-US"/>
              </w:rPr>
              <w:t xml:space="preserve"> (macro-level)</w:t>
            </w:r>
          </w:p>
          <w:p w14:paraId="22A4A7F6" w14:textId="77777777" w:rsidR="00341BFC" w:rsidRPr="00341BFC" w:rsidRDefault="00341BFC" w:rsidP="00053E62">
            <w:pPr>
              <w:spacing w:line="276" w:lineRule="auto"/>
              <w:jc w:val="center"/>
              <w:cnfStyle w:val="000000100000" w:firstRow="0" w:lastRow="0" w:firstColumn="0" w:lastColumn="0" w:oddVBand="0" w:evenVBand="0" w:oddHBand="1" w:evenHBand="0" w:firstRowFirstColumn="0" w:firstRowLastColumn="0" w:lastRowFirstColumn="0" w:lastRowLastColumn="0"/>
              <w:rPr>
                <w:rFonts w:ascii="Garamond" w:hAnsi="Garamond"/>
                <w:b/>
                <w:sz w:val="26"/>
                <w:szCs w:val="26"/>
                <w:lang w:val="en-US"/>
              </w:rPr>
            </w:pPr>
          </w:p>
        </w:tc>
      </w:tr>
      <w:tr w:rsidR="00341BFC" w14:paraId="38B2F02E" w14:textId="77777777" w:rsidTr="00341BFC">
        <w:tc>
          <w:tcPr>
            <w:cnfStyle w:val="001000000000" w:firstRow="0" w:lastRow="0" w:firstColumn="1" w:lastColumn="0" w:oddVBand="0" w:evenVBand="0" w:oddHBand="0" w:evenHBand="0" w:firstRowFirstColumn="0" w:firstRowLastColumn="0" w:lastRowFirstColumn="0" w:lastRowLastColumn="0"/>
            <w:tcW w:w="3120" w:type="dxa"/>
          </w:tcPr>
          <w:p w14:paraId="34A1CDD0" w14:textId="77777777" w:rsidR="008B2B94" w:rsidRPr="00341BFC" w:rsidRDefault="0054659F" w:rsidP="00053E62">
            <w:pPr>
              <w:spacing w:line="276" w:lineRule="auto"/>
              <w:jc w:val="both"/>
              <w:rPr>
                <w:rFonts w:ascii="Garamond" w:hAnsi="Garamond"/>
                <w:b w:val="0"/>
                <w:sz w:val="24"/>
                <w:szCs w:val="24"/>
                <w:lang w:val="en-US"/>
              </w:rPr>
            </w:pPr>
            <w:r w:rsidRPr="00341BFC">
              <w:rPr>
                <w:rFonts w:ascii="Garamond" w:hAnsi="Garamond"/>
                <w:b w:val="0"/>
                <w:sz w:val="24"/>
                <w:szCs w:val="24"/>
                <w:lang w:val="en-US"/>
              </w:rPr>
              <w:t>Process of policy formation (intra-EU)</w:t>
            </w:r>
          </w:p>
        </w:tc>
        <w:tc>
          <w:tcPr>
            <w:tcW w:w="3118" w:type="dxa"/>
          </w:tcPr>
          <w:p w14:paraId="3E616ED1" w14:textId="77777777" w:rsidR="00341BFC" w:rsidRDefault="0054659F" w:rsidP="00053E62">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sz w:val="24"/>
                <w:szCs w:val="24"/>
                <w:lang w:val="en-US"/>
              </w:rPr>
            </w:pPr>
            <w:r>
              <w:rPr>
                <w:rFonts w:ascii="Garamond" w:hAnsi="Garamond"/>
                <w:sz w:val="24"/>
                <w:szCs w:val="24"/>
                <w:lang w:val="en-US"/>
              </w:rPr>
              <w:t xml:space="preserve">EU international activation (behavioral change): </w:t>
            </w:r>
          </w:p>
          <w:p w14:paraId="3AE521FD" w14:textId="77777777" w:rsidR="008B2B94" w:rsidRDefault="0054659F" w:rsidP="00053E62">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sz w:val="24"/>
                <w:szCs w:val="24"/>
                <w:lang w:val="en-US"/>
              </w:rPr>
            </w:pPr>
            <w:r>
              <w:rPr>
                <w:rFonts w:ascii="Garamond" w:hAnsi="Garamond"/>
                <w:sz w:val="24"/>
                <w:szCs w:val="24"/>
                <w:lang w:val="en-US"/>
              </w:rPr>
              <w:t>how the EU takes the output at the international level</w:t>
            </w:r>
          </w:p>
        </w:tc>
        <w:tc>
          <w:tcPr>
            <w:tcW w:w="2835" w:type="dxa"/>
          </w:tcPr>
          <w:p w14:paraId="0355CD7E" w14:textId="77777777" w:rsidR="008B2B94" w:rsidRDefault="0054659F" w:rsidP="00053E62">
            <w:pPr>
              <w:spacing w:line="276" w:lineRule="auto"/>
              <w:cnfStyle w:val="000000000000" w:firstRow="0" w:lastRow="0" w:firstColumn="0" w:lastColumn="0" w:oddVBand="0" w:evenVBand="0" w:oddHBand="0" w:evenHBand="0" w:firstRowFirstColumn="0" w:firstRowLastColumn="0" w:lastRowFirstColumn="0" w:lastRowLastColumn="0"/>
              <w:rPr>
                <w:rFonts w:ascii="Garamond" w:hAnsi="Garamond"/>
                <w:sz w:val="24"/>
                <w:szCs w:val="24"/>
                <w:lang w:val="en-US"/>
              </w:rPr>
            </w:pPr>
            <w:r>
              <w:rPr>
                <w:rFonts w:ascii="Garamond" w:hAnsi="Garamond"/>
                <w:sz w:val="24"/>
                <w:szCs w:val="24"/>
                <w:lang w:val="en-US"/>
              </w:rPr>
              <w:t>Result of the EU international activation:</w:t>
            </w:r>
          </w:p>
          <w:p w14:paraId="0DB90171" w14:textId="77777777" w:rsidR="0054659F" w:rsidRPr="0054659F" w:rsidRDefault="0054659F" w:rsidP="00053E62">
            <w:pPr>
              <w:pStyle w:val="ListParagraph"/>
              <w:numPr>
                <w:ilvl w:val="0"/>
                <w:numId w:val="4"/>
              </w:numPr>
              <w:spacing w:line="276" w:lineRule="auto"/>
              <w:ind w:left="273" w:hanging="273"/>
              <w:cnfStyle w:val="000000000000" w:firstRow="0" w:lastRow="0" w:firstColumn="0" w:lastColumn="0" w:oddVBand="0" w:evenVBand="0" w:oddHBand="0" w:evenHBand="0" w:firstRowFirstColumn="0" w:firstRowLastColumn="0" w:lastRowFirstColumn="0" w:lastRowLastColumn="0"/>
              <w:rPr>
                <w:rFonts w:ascii="Garamond" w:hAnsi="Garamond"/>
                <w:sz w:val="24"/>
                <w:szCs w:val="24"/>
                <w:lang w:val="en-US"/>
              </w:rPr>
            </w:pPr>
            <w:r w:rsidRPr="0054659F">
              <w:rPr>
                <w:rFonts w:ascii="Garamond" w:hAnsi="Garamond"/>
                <w:sz w:val="24"/>
                <w:szCs w:val="24"/>
                <w:lang w:val="en-US"/>
              </w:rPr>
              <w:t>Regime formation</w:t>
            </w:r>
            <w:r w:rsidR="00341BFC">
              <w:rPr>
                <w:rFonts w:ascii="Garamond" w:hAnsi="Garamond"/>
                <w:sz w:val="24"/>
                <w:szCs w:val="24"/>
                <w:lang w:val="en-US"/>
              </w:rPr>
              <w:t xml:space="preserve"> (set up and reform of IOs)</w:t>
            </w:r>
          </w:p>
          <w:p w14:paraId="0D78F50A" w14:textId="77777777" w:rsidR="0054659F" w:rsidRDefault="0054659F" w:rsidP="00053E62">
            <w:pPr>
              <w:pStyle w:val="ListParagraph"/>
              <w:numPr>
                <w:ilvl w:val="0"/>
                <w:numId w:val="4"/>
              </w:numPr>
              <w:spacing w:line="276" w:lineRule="auto"/>
              <w:ind w:left="273" w:hanging="273"/>
              <w:cnfStyle w:val="000000000000" w:firstRow="0" w:lastRow="0" w:firstColumn="0" w:lastColumn="0" w:oddVBand="0" w:evenVBand="0" w:oddHBand="0" w:evenHBand="0" w:firstRowFirstColumn="0" w:firstRowLastColumn="0" w:lastRowFirstColumn="0" w:lastRowLastColumn="0"/>
              <w:rPr>
                <w:rFonts w:ascii="Garamond" w:hAnsi="Garamond"/>
                <w:sz w:val="24"/>
                <w:szCs w:val="24"/>
                <w:lang w:val="en-US"/>
              </w:rPr>
            </w:pPr>
            <w:r w:rsidRPr="0054659F">
              <w:rPr>
                <w:rFonts w:ascii="Garamond" w:hAnsi="Garamond"/>
                <w:sz w:val="24"/>
                <w:szCs w:val="24"/>
                <w:lang w:val="en-US"/>
              </w:rPr>
              <w:t>Handling of individual crises</w:t>
            </w:r>
          </w:p>
          <w:p w14:paraId="745D41D1" w14:textId="77777777" w:rsidR="0070498A" w:rsidRPr="0054659F" w:rsidRDefault="0070498A" w:rsidP="00053E62">
            <w:pPr>
              <w:pStyle w:val="ListParagraph"/>
              <w:spacing w:line="276" w:lineRule="auto"/>
              <w:ind w:left="273"/>
              <w:cnfStyle w:val="000000000000" w:firstRow="0" w:lastRow="0" w:firstColumn="0" w:lastColumn="0" w:oddVBand="0" w:evenVBand="0" w:oddHBand="0" w:evenHBand="0" w:firstRowFirstColumn="0" w:firstRowLastColumn="0" w:lastRowFirstColumn="0" w:lastRowLastColumn="0"/>
              <w:rPr>
                <w:rFonts w:ascii="Garamond" w:hAnsi="Garamond"/>
                <w:sz w:val="24"/>
                <w:szCs w:val="24"/>
                <w:lang w:val="en-US"/>
              </w:rPr>
            </w:pPr>
          </w:p>
        </w:tc>
      </w:tr>
      <w:tr w:rsidR="0054659F" w14:paraId="5557E702" w14:textId="77777777" w:rsidTr="00341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3" w:type="dxa"/>
            <w:gridSpan w:val="3"/>
          </w:tcPr>
          <w:p w14:paraId="43B4D4ED" w14:textId="77777777" w:rsidR="00341BFC" w:rsidRDefault="00341BFC" w:rsidP="00053E62">
            <w:pPr>
              <w:spacing w:line="276" w:lineRule="auto"/>
              <w:jc w:val="center"/>
              <w:rPr>
                <w:rFonts w:ascii="Garamond" w:hAnsi="Garamond"/>
                <w:sz w:val="24"/>
                <w:szCs w:val="24"/>
                <w:lang w:val="en-US"/>
              </w:rPr>
            </w:pPr>
          </w:p>
          <w:p w14:paraId="0B595521" w14:textId="77777777" w:rsidR="0054659F" w:rsidRPr="00341BFC" w:rsidRDefault="0054659F" w:rsidP="00053E62">
            <w:pPr>
              <w:spacing w:line="276" w:lineRule="auto"/>
              <w:jc w:val="center"/>
              <w:rPr>
                <w:rFonts w:ascii="Garamond" w:hAnsi="Garamond"/>
                <w:sz w:val="26"/>
                <w:szCs w:val="26"/>
                <w:lang w:val="en-US"/>
              </w:rPr>
            </w:pPr>
            <w:r w:rsidRPr="00341BFC">
              <w:rPr>
                <w:rFonts w:ascii="Garamond" w:hAnsi="Garamond"/>
                <w:sz w:val="26"/>
                <w:szCs w:val="26"/>
                <w:lang w:val="en-US"/>
              </w:rPr>
              <w:t xml:space="preserve">CRITERIA </w:t>
            </w:r>
            <w:r w:rsidR="00341BFC" w:rsidRPr="00341BFC">
              <w:rPr>
                <w:rFonts w:ascii="Garamond" w:hAnsi="Garamond"/>
                <w:sz w:val="26"/>
                <w:szCs w:val="26"/>
                <w:lang w:val="en-US"/>
              </w:rPr>
              <w:t>–</w:t>
            </w:r>
            <w:r w:rsidRPr="00341BFC">
              <w:rPr>
                <w:rFonts w:ascii="Garamond" w:hAnsi="Garamond"/>
                <w:sz w:val="26"/>
                <w:szCs w:val="26"/>
                <w:lang w:val="en-US"/>
              </w:rPr>
              <w:t>INDICATORS</w:t>
            </w:r>
          </w:p>
          <w:p w14:paraId="7D237BF8" w14:textId="77777777" w:rsidR="00341BFC" w:rsidRDefault="00341BFC" w:rsidP="00053E62">
            <w:pPr>
              <w:spacing w:line="276" w:lineRule="auto"/>
              <w:jc w:val="center"/>
              <w:rPr>
                <w:rFonts w:ascii="Garamond" w:hAnsi="Garamond"/>
                <w:sz w:val="24"/>
                <w:szCs w:val="24"/>
                <w:lang w:val="en-US"/>
              </w:rPr>
            </w:pPr>
          </w:p>
        </w:tc>
      </w:tr>
      <w:tr w:rsidR="00341BFC" w14:paraId="5CC18F46" w14:textId="77777777" w:rsidTr="00341BFC">
        <w:tc>
          <w:tcPr>
            <w:cnfStyle w:val="001000000000" w:firstRow="0" w:lastRow="0" w:firstColumn="1" w:lastColumn="0" w:oddVBand="0" w:evenVBand="0" w:oddHBand="0" w:evenHBand="0" w:firstRowFirstColumn="0" w:firstRowLastColumn="0" w:lastRowFirstColumn="0" w:lastRowLastColumn="0"/>
            <w:tcW w:w="3120" w:type="dxa"/>
          </w:tcPr>
          <w:p w14:paraId="284612C4" w14:textId="77777777" w:rsidR="0054659F" w:rsidRPr="00341BFC" w:rsidRDefault="0054659F" w:rsidP="00053E62">
            <w:pPr>
              <w:pStyle w:val="ListParagraph"/>
              <w:numPr>
                <w:ilvl w:val="0"/>
                <w:numId w:val="6"/>
              </w:numPr>
              <w:tabs>
                <w:tab w:val="left" w:pos="0"/>
              </w:tabs>
              <w:spacing w:line="276" w:lineRule="auto"/>
              <w:ind w:left="284" w:hanging="284"/>
              <w:jc w:val="both"/>
              <w:rPr>
                <w:rFonts w:ascii="Garamond" w:hAnsi="Garamond"/>
                <w:b w:val="0"/>
                <w:sz w:val="24"/>
                <w:szCs w:val="24"/>
                <w:lang w:val="en-US"/>
              </w:rPr>
            </w:pPr>
            <w:r w:rsidRPr="00341BFC">
              <w:rPr>
                <w:rFonts w:ascii="Garamond" w:hAnsi="Garamond"/>
                <w:b w:val="0"/>
                <w:sz w:val="24"/>
                <w:szCs w:val="24"/>
                <w:lang w:val="en-US"/>
              </w:rPr>
              <w:t>Inclusiveness</w:t>
            </w:r>
          </w:p>
          <w:p w14:paraId="234AB748" w14:textId="77777777" w:rsidR="00D6421B" w:rsidRDefault="0054659F" w:rsidP="00053E62">
            <w:pPr>
              <w:pStyle w:val="ListParagraph"/>
              <w:numPr>
                <w:ilvl w:val="0"/>
                <w:numId w:val="6"/>
              </w:numPr>
              <w:tabs>
                <w:tab w:val="left" w:pos="0"/>
              </w:tabs>
              <w:spacing w:line="276" w:lineRule="auto"/>
              <w:ind w:left="284" w:hanging="284"/>
              <w:jc w:val="both"/>
              <w:rPr>
                <w:rFonts w:ascii="Garamond" w:hAnsi="Garamond"/>
                <w:b w:val="0"/>
                <w:sz w:val="24"/>
                <w:szCs w:val="24"/>
                <w:lang w:val="en-US"/>
              </w:rPr>
            </w:pPr>
            <w:r w:rsidRPr="00341BFC">
              <w:rPr>
                <w:rFonts w:ascii="Garamond" w:hAnsi="Garamond"/>
                <w:b w:val="0"/>
                <w:sz w:val="24"/>
                <w:szCs w:val="24"/>
                <w:lang w:val="en-US"/>
              </w:rPr>
              <w:t>Meaningfulness</w:t>
            </w:r>
          </w:p>
          <w:p w14:paraId="046602FA" w14:textId="77777777" w:rsidR="0054659F" w:rsidRPr="00341BFC" w:rsidRDefault="0054659F" w:rsidP="00053E62">
            <w:pPr>
              <w:pStyle w:val="ListParagraph"/>
              <w:numPr>
                <w:ilvl w:val="0"/>
                <w:numId w:val="6"/>
              </w:numPr>
              <w:tabs>
                <w:tab w:val="left" w:pos="0"/>
              </w:tabs>
              <w:spacing w:line="276" w:lineRule="auto"/>
              <w:ind w:left="284" w:hanging="284"/>
              <w:rPr>
                <w:rFonts w:ascii="Garamond" w:hAnsi="Garamond"/>
                <w:b w:val="0"/>
                <w:sz w:val="24"/>
                <w:szCs w:val="24"/>
                <w:lang w:val="en-US"/>
              </w:rPr>
            </w:pPr>
            <w:r w:rsidRPr="00341BFC">
              <w:rPr>
                <w:rFonts w:ascii="Garamond" w:hAnsi="Garamond"/>
                <w:b w:val="0"/>
                <w:sz w:val="24"/>
                <w:szCs w:val="24"/>
                <w:lang w:val="en-US"/>
              </w:rPr>
              <w:t>Relevance</w:t>
            </w:r>
            <w:r w:rsidR="00D6421B">
              <w:rPr>
                <w:rFonts w:ascii="Garamond" w:hAnsi="Garamond"/>
                <w:b w:val="0"/>
                <w:sz w:val="24"/>
                <w:szCs w:val="24"/>
                <w:lang w:val="en-US"/>
              </w:rPr>
              <w:t xml:space="preserve"> to the EU stakeholders</w:t>
            </w:r>
          </w:p>
          <w:p w14:paraId="588CDEAD" w14:textId="77777777" w:rsidR="0054659F" w:rsidRPr="00D6421B" w:rsidRDefault="0054659F" w:rsidP="00053E62">
            <w:pPr>
              <w:pStyle w:val="ListParagraph"/>
              <w:numPr>
                <w:ilvl w:val="0"/>
                <w:numId w:val="6"/>
              </w:numPr>
              <w:tabs>
                <w:tab w:val="left" w:pos="0"/>
              </w:tabs>
              <w:spacing w:line="276" w:lineRule="auto"/>
              <w:ind w:left="284" w:hanging="284"/>
              <w:jc w:val="both"/>
              <w:rPr>
                <w:rFonts w:ascii="Garamond" w:hAnsi="Garamond"/>
                <w:sz w:val="24"/>
                <w:szCs w:val="24"/>
                <w:lang w:val="en-US"/>
              </w:rPr>
            </w:pPr>
            <w:r w:rsidRPr="00341BFC">
              <w:rPr>
                <w:rFonts w:ascii="Garamond" w:hAnsi="Garamond"/>
                <w:b w:val="0"/>
                <w:sz w:val="24"/>
                <w:szCs w:val="24"/>
                <w:lang w:val="en-US"/>
              </w:rPr>
              <w:t>Clarity</w:t>
            </w:r>
          </w:p>
          <w:p w14:paraId="2F4772FB" w14:textId="77777777" w:rsidR="00D6421B" w:rsidRPr="0054659F" w:rsidRDefault="00D6421B" w:rsidP="00053E62">
            <w:pPr>
              <w:pStyle w:val="ListParagraph"/>
              <w:tabs>
                <w:tab w:val="left" w:pos="0"/>
              </w:tabs>
              <w:spacing w:line="276" w:lineRule="auto"/>
              <w:ind w:left="284"/>
              <w:jc w:val="both"/>
              <w:rPr>
                <w:rFonts w:ascii="Garamond" w:hAnsi="Garamond"/>
                <w:sz w:val="24"/>
                <w:szCs w:val="24"/>
                <w:lang w:val="en-US"/>
              </w:rPr>
            </w:pPr>
          </w:p>
        </w:tc>
        <w:tc>
          <w:tcPr>
            <w:tcW w:w="3118" w:type="dxa"/>
          </w:tcPr>
          <w:p w14:paraId="6312E2BF" w14:textId="77777777" w:rsidR="008B2B94" w:rsidRPr="0054659F" w:rsidRDefault="0054659F" w:rsidP="00053E62">
            <w:pPr>
              <w:pStyle w:val="ListParagraph"/>
              <w:numPr>
                <w:ilvl w:val="0"/>
                <w:numId w:val="6"/>
              </w:numPr>
              <w:spacing w:line="276" w:lineRule="auto"/>
              <w:ind w:left="251" w:hanging="284"/>
              <w:jc w:val="both"/>
              <w:cnfStyle w:val="000000000000" w:firstRow="0" w:lastRow="0" w:firstColumn="0" w:lastColumn="0" w:oddVBand="0" w:evenVBand="0" w:oddHBand="0" w:evenHBand="0" w:firstRowFirstColumn="0" w:firstRowLastColumn="0" w:lastRowFirstColumn="0" w:lastRowLastColumn="0"/>
              <w:rPr>
                <w:rFonts w:ascii="Garamond" w:hAnsi="Garamond"/>
                <w:sz w:val="24"/>
                <w:szCs w:val="24"/>
                <w:lang w:val="en-US"/>
              </w:rPr>
            </w:pPr>
            <w:r w:rsidRPr="0054659F">
              <w:rPr>
                <w:rFonts w:ascii="Garamond" w:hAnsi="Garamond"/>
                <w:sz w:val="24"/>
                <w:szCs w:val="24"/>
                <w:lang w:val="en-US"/>
              </w:rPr>
              <w:t>Cohesion-Continuity</w:t>
            </w:r>
          </w:p>
          <w:p w14:paraId="669191E0" w14:textId="77777777" w:rsidR="0054659F" w:rsidRPr="0054659F" w:rsidRDefault="0054659F" w:rsidP="00053E62">
            <w:pPr>
              <w:pStyle w:val="ListParagraph"/>
              <w:numPr>
                <w:ilvl w:val="0"/>
                <w:numId w:val="6"/>
              </w:numPr>
              <w:spacing w:line="276" w:lineRule="auto"/>
              <w:ind w:left="251" w:hanging="284"/>
              <w:cnfStyle w:val="000000000000" w:firstRow="0" w:lastRow="0" w:firstColumn="0" w:lastColumn="0" w:oddVBand="0" w:evenVBand="0" w:oddHBand="0" w:evenHBand="0" w:firstRowFirstColumn="0" w:firstRowLastColumn="0" w:lastRowFirstColumn="0" w:lastRowLastColumn="0"/>
              <w:rPr>
                <w:rFonts w:ascii="Garamond" w:hAnsi="Garamond"/>
                <w:sz w:val="24"/>
                <w:szCs w:val="24"/>
                <w:lang w:val="en-US"/>
              </w:rPr>
            </w:pPr>
            <w:r w:rsidRPr="0054659F">
              <w:rPr>
                <w:rFonts w:ascii="Garamond" w:hAnsi="Garamond"/>
                <w:sz w:val="24"/>
                <w:szCs w:val="24"/>
                <w:lang w:val="en-US"/>
              </w:rPr>
              <w:t>Use of Available Instruments</w:t>
            </w:r>
          </w:p>
          <w:p w14:paraId="79962C11" w14:textId="77777777" w:rsidR="0054659F" w:rsidRDefault="0054659F" w:rsidP="00053E62">
            <w:pPr>
              <w:pStyle w:val="ListParagraph"/>
              <w:numPr>
                <w:ilvl w:val="0"/>
                <w:numId w:val="6"/>
              </w:numPr>
              <w:spacing w:line="276" w:lineRule="auto"/>
              <w:ind w:left="251" w:hanging="284"/>
              <w:cnfStyle w:val="000000000000" w:firstRow="0" w:lastRow="0" w:firstColumn="0" w:lastColumn="0" w:oddVBand="0" w:evenVBand="0" w:oddHBand="0" w:evenHBand="0" w:firstRowFirstColumn="0" w:firstRowLastColumn="0" w:lastRowFirstColumn="0" w:lastRowLastColumn="0"/>
              <w:rPr>
                <w:rFonts w:ascii="Garamond" w:hAnsi="Garamond"/>
                <w:sz w:val="24"/>
                <w:szCs w:val="24"/>
                <w:lang w:val="en-US"/>
              </w:rPr>
            </w:pPr>
            <w:r w:rsidRPr="0054659F">
              <w:rPr>
                <w:rFonts w:ascii="Garamond" w:hAnsi="Garamond"/>
                <w:sz w:val="24"/>
                <w:szCs w:val="24"/>
                <w:lang w:val="en-US"/>
              </w:rPr>
              <w:t xml:space="preserve">Supply of </w:t>
            </w:r>
            <w:r w:rsidR="008B73DB">
              <w:rPr>
                <w:rFonts w:ascii="Garamond" w:hAnsi="Garamond"/>
                <w:sz w:val="24"/>
                <w:szCs w:val="24"/>
                <w:lang w:val="en-US"/>
              </w:rPr>
              <w:t xml:space="preserve">International </w:t>
            </w:r>
            <w:r w:rsidRPr="0054659F">
              <w:rPr>
                <w:rFonts w:ascii="Garamond" w:hAnsi="Garamond"/>
                <w:sz w:val="24"/>
                <w:szCs w:val="24"/>
                <w:lang w:val="en-US"/>
              </w:rPr>
              <w:t>Leadership</w:t>
            </w:r>
          </w:p>
          <w:p w14:paraId="11258562" w14:textId="77777777" w:rsidR="0070498A" w:rsidRPr="0054659F" w:rsidRDefault="0070498A" w:rsidP="00053E62">
            <w:pPr>
              <w:pStyle w:val="ListParagraph"/>
              <w:spacing w:line="276" w:lineRule="auto"/>
              <w:ind w:left="251"/>
              <w:jc w:val="both"/>
              <w:cnfStyle w:val="000000000000" w:firstRow="0" w:lastRow="0" w:firstColumn="0" w:lastColumn="0" w:oddVBand="0" w:evenVBand="0" w:oddHBand="0" w:evenHBand="0" w:firstRowFirstColumn="0" w:firstRowLastColumn="0" w:lastRowFirstColumn="0" w:lastRowLastColumn="0"/>
              <w:rPr>
                <w:rFonts w:ascii="Garamond" w:hAnsi="Garamond"/>
                <w:sz w:val="24"/>
                <w:szCs w:val="24"/>
                <w:lang w:val="en-US"/>
              </w:rPr>
            </w:pPr>
          </w:p>
        </w:tc>
        <w:tc>
          <w:tcPr>
            <w:tcW w:w="2835" w:type="dxa"/>
          </w:tcPr>
          <w:p w14:paraId="677AC828" w14:textId="77777777" w:rsidR="008B2B94" w:rsidRPr="0054659F" w:rsidRDefault="0054659F" w:rsidP="00053E62">
            <w:pPr>
              <w:pStyle w:val="ListParagraph"/>
              <w:numPr>
                <w:ilvl w:val="0"/>
                <w:numId w:val="6"/>
              </w:numPr>
              <w:spacing w:line="276" w:lineRule="auto"/>
              <w:ind w:left="219" w:hanging="219"/>
              <w:jc w:val="both"/>
              <w:cnfStyle w:val="000000000000" w:firstRow="0" w:lastRow="0" w:firstColumn="0" w:lastColumn="0" w:oddVBand="0" w:evenVBand="0" w:oddHBand="0" w:evenHBand="0" w:firstRowFirstColumn="0" w:firstRowLastColumn="0" w:lastRowFirstColumn="0" w:lastRowLastColumn="0"/>
              <w:rPr>
                <w:rFonts w:ascii="Garamond" w:hAnsi="Garamond"/>
                <w:sz w:val="24"/>
                <w:szCs w:val="24"/>
                <w:lang w:val="en-US"/>
              </w:rPr>
            </w:pPr>
            <w:r w:rsidRPr="0054659F">
              <w:rPr>
                <w:rFonts w:ascii="Garamond" w:hAnsi="Garamond"/>
                <w:sz w:val="24"/>
                <w:szCs w:val="24"/>
                <w:lang w:val="en-US"/>
              </w:rPr>
              <w:t>Effectiveness</w:t>
            </w:r>
          </w:p>
          <w:p w14:paraId="6C5D9247" w14:textId="77777777" w:rsidR="0054659F" w:rsidRPr="0054659F" w:rsidRDefault="0054659F" w:rsidP="00053E62">
            <w:pPr>
              <w:pStyle w:val="ListParagraph"/>
              <w:numPr>
                <w:ilvl w:val="0"/>
                <w:numId w:val="6"/>
              </w:numPr>
              <w:spacing w:line="276" w:lineRule="auto"/>
              <w:ind w:left="219" w:hanging="219"/>
              <w:jc w:val="both"/>
              <w:cnfStyle w:val="000000000000" w:firstRow="0" w:lastRow="0" w:firstColumn="0" w:lastColumn="0" w:oddVBand="0" w:evenVBand="0" w:oddHBand="0" w:evenHBand="0" w:firstRowFirstColumn="0" w:firstRowLastColumn="0" w:lastRowFirstColumn="0" w:lastRowLastColumn="0"/>
              <w:rPr>
                <w:rFonts w:ascii="Garamond" w:hAnsi="Garamond"/>
                <w:sz w:val="24"/>
                <w:szCs w:val="24"/>
                <w:lang w:val="en-US"/>
              </w:rPr>
            </w:pPr>
            <w:r w:rsidRPr="0054659F">
              <w:rPr>
                <w:rFonts w:ascii="Garamond" w:hAnsi="Garamond"/>
                <w:sz w:val="24"/>
                <w:szCs w:val="24"/>
                <w:lang w:val="en-US"/>
              </w:rPr>
              <w:t>Efficiency</w:t>
            </w:r>
          </w:p>
        </w:tc>
      </w:tr>
      <w:tr w:rsidR="0054659F" w14:paraId="548857CC" w14:textId="77777777" w:rsidTr="00341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3" w:type="dxa"/>
            <w:gridSpan w:val="3"/>
          </w:tcPr>
          <w:p w14:paraId="08A25669" w14:textId="77777777" w:rsidR="00341BFC" w:rsidRDefault="00341BFC" w:rsidP="00053E62">
            <w:pPr>
              <w:spacing w:line="276" w:lineRule="auto"/>
              <w:jc w:val="center"/>
              <w:rPr>
                <w:rFonts w:ascii="Garamond" w:hAnsi="Garamond"/>
                <w:sz w:val="24"/>
                <w:szCs w:val="24"/>
                <w:lang w:val="en-US"/>
              </w:rPr>
            </w:pPr>
          </w:p>
          <w:p w14:paraId="56D9B5C9" w14:textId="77777777" w:rsidR="0054659F" w:rsidRPr="00341BFC" w:rsidRDefault="0054659F" w:rsidP="00053E62">
            <w:pPr>
              <w:spacing w:line="276" w:lineRule="auto"/>
              <w:jc w:val="center"/>
              <w:rPr>
                <w:rFonts w:ascii="Garamond" w:hAnsi="Garamond"/>
                <w:sz w:val="26"/>
                <w:szCs w:val="26"/>
                <w:lang w:val="en-US"/>
              </w:rPr>
            </w:pPr>
            <w:r w:rsidRPr="00341BFC">
              <w:rPr>
                <w:rFonts w:ascii="Garamond" w:hAnsi="Garamond"/>
                <w:sz w:val="26"/>
                <w:szCs w:val="26"/>
                <w:lang w:val="en-US"/>
              </w:rPr>
              <w:t>PARAMETERS</w:t>
            </w:r>
          </w:p>
          <w:p w14:paraId="791FD055" w14:textId="77777777" w:rsidR="00341BFC" w:rsidRDefault="00341BFC" w:rsidP="00053E62">
            <w:pPr>
              <w:spacing w:line="276" w:lineRule="auto"/>
              <w:jc w:val="center"/>
              <w:rPr>
                <w:rFonts w:ascii="Garamond" w:hAnsi="Garamond"/>
                <w:sz w:val="24"/>
                <w:szCs w:val="24"/>
                <w:lang w:val="en-US"/>
              </w:rPr>
            </w:pPr>
          </w:p>
        </w:tc>
      </w:tr>
      <w:tr w:rsidR="00341BFC" w:rsidRPr="00447887" w14:paraId="22236D4F" w14:textId="77777777" w:rsidTr="00341BFC">
        <w:tc>
          <w:tcPr>
            <w:cnfStyle w:val="001000000000" w:firstRow="0" w:lastRow="0" w:firstColumn="1" w:lastColumn="0" w:oddVBand="0" w:evenVBand="0" w:oddHBand="0" w:evenHBand="0" w:firstRowFirstColumn="0" w:firstRowLastColumn="0" w:lastRowFirstColumn="0" w:lastRowLastColumn="0"/>
            <w:tcW w:w="3120" w:type="dxa"/>
          </w:tcPr>
          <w:p w14:paraId="0D9CFDF6" w14:textId="77777777" w:rsidR="008B2B94" w:rsidRPr="00341BFC" w:rsidRDefault="0054659F" w:rsidP="00053E62">
            <w:pPr>
              <w:pStyle w:val="ListParagraph"/>
              <w:numPr>
                <w:ilvl w:val="0"/>
                <w:numId w:val="7"/>
              </w:numPr>
              <w:tabs>
                <w:tab w:val="left" w:pos="284"/>
              </w:tabs>
              <w:spacing w:line="276" w:lineRule="auto"/>
              <w:ind w:left="567" w:hanging="567"/>
              <w:jc w:val="both"/>
              <w:rPr>
                <w:rFonts w:ascii="Garamond" w:hAnsi="Garamond"/>
                <w:b w:val="0"/>
                <w:sz w:val="24"/>
                <w:szCs w:val="24"/>
                <w:lang w:val="en-US"/>
              </w:rPr>
            </w:pPr>
            <w:r w:rsidRPr="00341BFC">
              <w:rPr>
                <w:rFonts w:ascii="Garamond" w:hAnsi="Garamond"/>
                <w:b w:val="0"/>
                <w:sz w:val="24"/>
                <w:szCs w:val="24"/>
                <w:lang w:val="en-US"/>
              </w:rPr>
              <w:t>Heterogeneity of M/S</w:t>
            </w:r>
          </w:p>
          <w:p w14:paraId="5AC77978" w14:textId="77777777" w:rsidR="0054659F" w:rsidRPr="0054659F" w:rsidRDefault="0054659F" w:rsidP="00053E62">
            <w:pPr>
              <w:pStyle w:val="ListParagraph"/>
              <w:numPr>
                <w:ilvl w:val="0"/>
                <w:numId w:val="7"/>
              </w:numPr>
              <w:tabs>
                <w:tab w:val="left" w:pos="284"/>
              </w:tabs>
              <w:spacing w:line="276" w:lineRule="auto"/>
              <w:ind w:left="318" w:hanging="318"/>
              <w:rPr>
                <w:rFonts w:ascii="Garamond" w:hAnsi="Garamond"/>
                <w:sz w:val="24"/>
                <w:szCs w:val="24"/>
                <w:lang w:val="en-US"/>
              </w:rPr>
            </w:pPr>
            <w:r w:rsidRPr="00341BFC">
              <w:rPr>
                <w:rFonts w:ascii="Garamond" w:hAnsi="Garamond"/>
                <w:b w:val="0"/>
                <w:sz w:val="24"/>
                <w:szCs w:val="24"/>
                <w:lang w:val="en-US"/>
              </w:rPr>
              <w:t xml:space="preserve">Institutional </w:t>
            </w:r>
            <w:r w:rsidR="00155FB3" w:rsidRPr="00155FB3">
              <w:rPr>
                <w:rFonts w:ascii="Garamond" w:hAnsi="Garamond"/>
                <w:b w:val="0"/>
                <w:i/>
                <w:sz w:val="24"/>
                <w:szCs w:val="24"/>
                <w:lang w:val="en-US"/>
              </w:rPr>
              <w:t>modus operandi</w:t>
            </w:r>
            <w:r w:rsidR="00155FB3">
              <w:rPr>
                <w:rFonts w:ascii="Garamond" w:hAnsi="Garamond"/>
                <w:b w:val="0"/>
                <w:sz w:val="24"/>
                <w:szCs w:val="24"/>
                <w:lang w:val="en-US"/>
              </w:rPr>
              <w:t xml:space="preserve"> </w:t>
            </w:r>
            <w:r w:rsidR="008319D8">
              <w:rPr>
                <w:rFonts w:ascii="Garamond" w:hAnsi="Garamond"/>
                <w:b w:val="0"/>
                <w:sz w:val="24"/>
                <w:szCs w:val="24"/>
                <w:lang w:val="en-US"/>
              </w:rPr>
              <w:t>(decision making rule</w:t>
            </w:r>
            <w:r w:rsidR="00155FB3">
              <w:rPr>
                <w:rFonts w:ascii="Garamond" w:hAnsi="Garamond"/>
                <w:b w:val="0"/>
                <w:sz w:val="24"/>
                <w:szCs w:val="24"/>
                <w:lang w:val="en-US"/>
              </w:rPr>
              <w:t>s, i</w:t>
            </w:r>
            <w:r w:rsidRPr="00341BFC">
              <w:rPr>
                <w:rFonts w:ascii="Garamond" w:hAnsi="Garamond"/>
                <w:b w:val="0"/>
                <w:sz w:val="24"/>
                <w:szCs w:val="24"/>
                <w:lang w:val="en-US"/>
              </w:rPr>
              <w:t>nternal leadership</w:t>
            </w:r>
            <w:r w:rsidR="00155FB3">
              <w:rPr>
                <w:rFonts w:ascii="Garamond" w:hAnsi="Garamond"/>
                <w:b w:val="0"/>
                <w:sz w:val="24"/>
                <w:szCs w:val="24"/>
                <w:lang w:val="en-US"/>
              </w:rPr>
              <w:t>)</w:t>
            </w:r>
          </w:p>
        </w:tc>
        <w:tc>
          <w:tcPr>
            <w:tcW w:w="3118" w:type="dxa"/>
          </w:tcPr>
          <w:p w14:paraId="318BC5CA" w14:textId="77777777" w:rsidR="008B2B94" w:rsidRPr="0054659F" w:rsidRDefault="0054659F" w:rsidP="00053E62">
            <w:pPr>
              <w:pStyle w:val="ListParagraph"/>
              <w:numPr>
                <w:ilvl w:val="0"/>
                <w:numId w:val="7"/>
              </w:numPr>
              <w:spacing w:line="276" w:lineRule="auto"/>
              <w:ind w:left="251" w:hanging="251"/>
              <w:jc w:val="both"/>
              <w:cnfStyle w:val="000000000000" w:firstRow="0" w:lastRow="0" w:firstColumn="0" w:lastColumn="0" w:oddVBand="0" w:evenVBand="0" w:oddHBand="0" w:evenHBand="0" w:firstRowFirstColumn="0" w:firstRowLastColumn="0" w:lastRowFirstColumn="0" w:lastRowLastColumn="0"/>
              <w:rPr>
                <w:rFonts w:ascii="Garamond" w:hAnsi="Garamond"/>
                <w:sz w:val="24"/>
                <w:szCs w:val="24"/>
                <w:lang w:val="en-US"/>
              </w:rPr>
            </w:pPr>
            <w:r w:rsidRPr="0054659F">
              <w:rPr>
                <w:rFonts w:ascii="Garamond" w:hAnsi="Garamond"/>
                <w:sz w:val="24"/>
                <w:szCs w:val="24"/>
                <w:lang w:val="en-US"/>
              </w:rPr>
              <w:t>Available resources</w:t>
            </w:r>
          </w:p>
          <w:p w14:paraId="5A2F9E03" w14:textId="77777777" w:rsidR="0054659F" w:rsidRPr="0054659F" w:rsidRDefault="0054659F" w:rsidP="00053E62">
            <w:pPr>
              <w:pStyle w:val="ListParagraph"/>
              <w:numPr>
                <w:ilvl w:val="0"/>
                <w:numId w:val="7"/>
              </w:numPr>
              <w:spacing w:line="276" w:lineRule="auto"/>
              <w:ind w:left="251" w:hanging="251"/>
              <w:cnfStyle w:val="000000000000" w:firstRow="0" w:lastRow="0" w:firstColumn="0" w:lastColumn="0" w:oddVBand="0" w:evenVBand="0" w:oddHBand="0" w:evenHBand="0" w:firstRowFirstColumn="0" w:firstRowLastColumn="0" w:lastRowFirstColumn="0" w:lastRowLastColumn="0"/>
              <w:rPr>
                <w:rFonts w:ascii="Garamond" w:hAnsi="Garamond"/>
                <w:sz w:val="24"/>
                <w:szCs w:val="24"/>
                <w:lang w:val="en-US"/>
              </w:rPr>
            </w:pPr>
            <w:r w:rsidRPr="0054659F">
              <w:rPr>
                <w:rFonts w:ascii="Garamond" w:hAnsi="Garamond"/>
                <w:sz w:val="24"/>
                <w:szCs w:val="24"/>
                <w:lang w:val="en-US"/>
              </w:rPr>
              <w:t>Institutional and legal provisions</w:t>
            </w:r>
            <w:r>
              <w:rPr>
                <w:rFonts w:ascii="Garamond" w:hAnsi="Garamond"/>
                <w:sz w:val="24"/>
                <w:szCs w:val="24"/>
                <w:lang w:val="en-US"/>
              </w:rPr>
              <w:t xml:space="preserve"> (mandate, legal personality, EEAS)</w:t>
            </w:r>
          </w:p>
          <w:p w14:paraId="6FCDCBCD" w14:textId="77777777" w:rsidR="0054659F" w:rsidRPr="0054659F" w:rsidRDefault="0054659F" w:rsidP="00053E62">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b/>
                <w:sz w:val="24"/>
                <w:szCs w:val="24"/>
                <w:lang w:val="en-US"/>
              </w:rPr>
            </w:pPr>
          </w:p>
        </w:tc>
        <w:tc>
          <w:tcPr>
            <w:tcW w:w="2835" w:type="dxa"/>
          </w:tcPr>
          <w:p w14:paraId="45107B32" w14:textId="77777777" w:rsidR="008B2B94" w:rsidRPr="0054659F" w:rsidRDefault="0054659F" w:rsidP="00053E62">
            <w:pPr>
              <w:pStyle w:val="ListParagraph"/>
              <w:numPr>
                <w:ilvl w:val="0"/>
                <w:numId w:val="7"/>
              </w:numPr>
              <w:spacing w:line="276" w:lineRule="auto"/>
              <w:ind w:left="197" w:hanging="142"/>
              <w:jc w:val="both"/>
              <w:cnfStyle w:val="000000000000" w:firstRow="0" w:lastRow="0" w:firstColumn="0" w:lastColumn="0" w:oddVBand="0" w:evenVBand="0" w:oddHBand="0" w:evenHBand="0" w:firstRowFirstColumn="0" w:firstRowLastColumn="0" w:lastRowFirstColumn="0" w:lastRowLastColumn="0"/>
              <w:rPr>
                <w:rFonts w:ascii="Garamond" w:hAnsi="Garamond"/>
                <w:sz w:val="24"/>
                <w:szCs w:val="24"/>
                <w:lang w:val="en-US"/>
              </w:rPr>
            </w:pPr>
            <w:r w:rsidRPr="0054659F">
              <w:rPr>
                <w:rFonts w:ascii="Garamond" w:hAnsi="Garamond"/>
                <w:sz w:val="24"/>
                <w:szCs w:val="24"/>
                <w:lang w:val="en-US"/>
              </w:rPr>
              <w:t>Bargaining power</w:t>
            </w:r>
          </w:p>
          <w:p w14:paraId="24531398" w14:textId="77777777" w:rsidR="0054659F" w:rsidRPr="0054659F" w:rsidRDefault="0054659F" w:rsidP="00053E62">
            <w:pPr>
              <w:pStyle w:val="ListParagraph"/>
              <w:numPr>
                <w:ilvl w:val="0"/>
                <w:numId w:val="7"/>
              </w:numPr>
              <w:spacing w:line="276" w:lineRule="auto"/>
              <w:ind w:left="197" w:hanging="142"/>
              <w:cnfStyle w:val="000000000000" w:firstRow="0" w:lastRow="0" w:firstColumn="0" w:lastColumn="0" w:oddVBand="0" w:evenVBand="0" w:oddHBand="0" w:evenHBand="0" w:firstRowFirstColumn="0" w:firstRowLastColumn="0" w:lastRowFirstColumn="0" w:lastRowLastColumn="0"/>
              <w:rPr>
                <w:rFonts w:ascii="Garamond" w:hAnsi="Garamond"/>
                <w:sz w:val="24"/>
                <w:szCs w:val="24"/>
                <w:lang w:val="en-US"/>
              </w:rPr>
            </w:pPr>
            <w:r w:rsidRPr="0054659F">
              <w:rPr>
                <w:rFonts w:ascii="Garamond" w:hAnsi="Garamond"/>
                <w:sz w:val="24"/>
                <w:szCs w:val="24"/>
                <w:lang w:val="en-US"/>
              </w:rPr>
              <w:t>Role of other international actors (states, IOs, NGOs)</w:t>
            </w:r>
          </w:p>
        </w:tc>
      </w:tr>
    </w:tbl>
    <w:p w14:paraId="4425474A" w14:textId="77777777" w:rsidR="00C52013" w:rsidRPr="00004ED1" w:rsidRDefault="00C52013" w:rsidP="00053E62">
      <w:pPr>
        <w:jc w:val="both"/>
        <w:rPr>
          <w:rFonts w:ascii="Garamond" w:hAnsi="Garamond"/>
          <w:sz w:val="24"/>
          <w:szCs w:val="24"/>
          <w:lang w:val="en-US"/>
        </w:rPr>
      </w:pPr>
    </w:p>
    <w:sectPr w:rsidR="00C52013" w:rsidRPr="00004ED1" w:rsidSect="00733FA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C6FBA" w14:textId="77777777" w:rsidR="004D0791" w:rsidRDefault="004D0791" w:rsidP="00E92428">
      <w:pPr>
        <w:spacing w:after="0" w:line="240" w:lineRule="auto"/>
      </w:pPr>
      <w:r>
        <w:separator/>
      </w:r>
    </w:p>
  </w:endnote>
  <w:endnote w:type="continuationSeparator" w:id="0">
    <w:p w14:paraId="0E2F8EA9" w14:textId="77777777" w:rsidR="004D0791" w:rsidRDefault="004D0791" w:rsidP="00E9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dvTimes">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854208"/>
      <w:docPartObj>
        <w:docPartGallery w:val="Page Numbers (Bottom of Page)"/>
        <w:docPartUnique/>
      </w:docPartObj>
    </w:sdtPr>
    <w:sdtEndPr>
      <w:rPr>
        <w:noProof/>
      </w:rPr>
    </w:sdtEndPr>
    <w:sdtContent>
      <w:p w14:paraId="3F4A4088" w14:textId="77777777" w:rsidR="008F7E44" w:rsidRDefault="00E26822">
        <w:pPr>
          <w:pStyle w:val="Footer"/>
          <w:jc w:val="right"/>
        </w:pPr>
        <w:r>
          <w:fldChar w:fldCharType="begin"/>
        </w:r>
        <w:r w:rsidR="008F7E44">
          <w:instrText xml:space="preserve"> PAGE   \* MERGEFORMAT </w:instrText>
        </w:r>
        <w:r>
          <w:fldChar w:fldCharType="separate"/>
        </w:r>
        <w:r w:rsidR="00C55D5C">
          <w:rPr>
            <w:noProof/>
          </w:rPr>
          <w:t>11</w:t>
        </w:r>
        <w:r>
          <w:rPr>
            <w:noProof/>
          </w:rPr>
          <w:fldChar w:fldCharType="end"/>
        </w:r>
      </w:p>
    </w:sdtContent>
  </w:sdt>
  <w:p w14:paraId="1E9A7A33" w14:textId="77777777" w:rsidR="008F7E44" w:rsidRDefault="008F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92A5B" w14:textId="77777777" w:rsidR="004D0791" w:rsidRDefault="004D0791" w:rsidP="00E92428">
      <w:pPr>
        <w:spacing w:after="0" w:line="240" w:lineRule="auto"/>
      </w:pPr>
      <w:r>
        <w:separator/>
      </w:r>
    </w:p>
  </w:footnote>
  <w:footnote w:type="continuationSeparator" w:id="0">
    <w:p w14:paraId="02FD3DD5" w14:textId="77777777" w:rsidR="004D0791" w:rsidRDefault="004D0791" w:rsidP="00E92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D28ED"/>
    <w:multiLevelType w:val="hybridMultilevel"/>
    <w:tmpl w:val="50287B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5DE1BAA"/>
    <w:multiLevelType w:val="multilevel"/>
    <w:tmpl w:val="FE42B0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F4AB6"/>
    <w:multiLevelType w:val="hybridMultilevel"/>
    <w:tmpl w:val="84007E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9002876"/>
    <w:multiLevelType w:val="hybridMultilevel"/>
    <w:tmpl w:val="8CA041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D33457F"/>
    <w:multiLevelType w:val="hybridMultilevel"/>
    <w:tmpl w:val="4EF22A58"/>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1228E9"/>
    <w:multiLevelType w:val="hybridMultilevel"/>
    <w:tmpl w:val="F1922CF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E605E3D"/>
    <w:multiLevelType w:val="hybridMultilevel"/>
    <w:tmpl w:val="8FCE61F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4389761">
    <w:abstractNumId w:val="1"/>
  </w:num>
  <w:num w:numId="2" w16cid:durableId="119303596">
    <w:abstractNumId w:val="0"/>
  </w:num>
  <w:num w:numId="3" w16cid:durableId="814494462">
    <w:abstractNumId w:val="4"/>
  </w:num>
  <w:num w:numId="4" w16cid:durableId="89130635">
    <w:abstractNumId w:val="3"/>
  </w:num>
  <w:num w:numId="5" w16cid:durableId="498472571">
    <w:abstractNumId w:val="2"/>
  </w:num>
  <w:num w:numId="6" w16cid:durableId="64764465">
    <w:abstractNumId w:val="5"/>
  </w:num>
  <w:num w:numId="7" w16cid:durableId="1827092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15"/>
    <w:rsid w:val="00004ED1"/>
    <w:rsid w:val="0000627F"/>
    <w:rsid w:val="00053E62"/>
    <w:rsid w:val="0005789C"/>
    <w:rsid w:val="00065DBF"/>
    <w:rsid w:val="00087FE7"/>
    <w:rsid w:val="00096DAB"/>
    <w:rsid w:val="000A3428"/>
    <w:rsid w:val="000A7DBD"/>
    <w:rsid w:val="000C302B"/>
    <w:rsid w:val="000E71A5"/>
    <w:rsid w:val="000F3695"/>
    <w:rsid w:val="000F5449"/>
    <w:rsid w:val="00107D41"/>
    <w:rsid w:val="001173A3"/>
    <w:rsid w:val="00122B43"/>
    <w:rsid w:val="00155FB3"/>
    <w:rsid w:val="001832F0"/>
    <w:rsid w:val="0019179A"/>
    <w:rsid w:val="001A4ABC"/>
    <w:rsid w:val="001B6899"/>
    <w:rsid w:val="001C54FA"/>
    <w:rsid w:val="001E0C3D"/>
    <w:rsid w:val="001E7370"/>
    <w:rsid w:val="001F45FB"/>
    <w:rsid w:val="0020337F"/>
    <w:rsid w:val="00251BE8"/>
    <w:rsid w:val="0028174C"/>
    <w:rsid w:val="00293A67"/>
    <w:rsid w:val="002A07A6"/>
    <w:rsid w:val="002E15B3"/>
    <w:rsid w:val="002F3964"/>
    <w:rsid w:val="00332119"/>
    <w:rsid w:val="00341BFC"/>
    <w:rsid w:val="00360622"/>
    <w:rsid w:val="00363143"/>
    <w:rsid w:val="00384EC3"/>
    <w:rsid w:val="00391644"/>
    <w:rsid w:val="003C0B14"/>
    <w:rsid w:val="003C3644"/>
    <w:rsid w:val="003D685D"/>
    <w:rsid w:val="00410A6B"/>
    <w:rsid w:val="00410EA5"/>
    <w:rsid w:val="00423E0C"/>
    <w:rsid w:val="00424EE7"/>
    <w:rsid w:val="00447887"/>
    <w:rsid w:val="00460AC3"/>
    <w:rsid w:val="00486241"/>
    <w:rsid w:val="004B21D7"/>
    <w:rsid w:val="004D0791"/>
    <w:rsid w:val="004E5683"/>
    <w:rsid w:val="0051088E"/>
    <w:rsid w:val="00510B4F"/>
    <w:rsid w:val="0051409F"/>
    <w:rsid w:val="005209BC"/>
    <w:rsid w:val="00525283"/>
    <w:rsid w:val="00535EEF"/>
    <w:rsid w:val="0054659F"/>
    <w:rsid w:val="00547EA3"/>
    <w:rsid w:val="005534DB"/>
    <w:rsid w:val="00581C5D"/>
    <w:rsid w:val="00595639"/>
    <w:rsid w:val="005F4C00"/>
    <w:rsid w:val="006307D6"/>
    <w:rsid w:val="006A26E5"/>
    <w:rsid w:val="006C54CC"/>
    <w:rsid w:val="0070498A"/>
    <w:rsid w:val="00733FA3"/>
    <w:rsid w:val="0074583D"/>
    <w:rsid w:val="00756894"/>
    <w:rsid w:val="00794ED7"/>
    <w:rsid w:val="007A0F4C"/>
    <w:rsid w:val="00805B35"/>
    <w:rsid w:val="00810FB0"/>
    <w:rsid w:val="008319D8"/>
    <w:rsid w:val="008543D7"/>
    <w:rsid w:val="00866AA9"/>
    <w:rsid w:val="00882438"/>
    <w:rsid w:val="008B0863"/>
    <w:rsid w:val="008B2B94"/>
    <w:rsid w:val="008B73DB"/>
    <w:rsid w:val="008B7EDF"/>
    <w:rsid w:val="008E2879"/>
    <w:rsid w:val="008E7481"/>
    <w:rsid w:val="008F7E44"/>
    <w:rsid w:val="00912B3A"/>
    <w:rsid w:val="00926971"/>
    <w:rsid w:val="0093176B"/>
    <w:rsid w:val="009651A9"/>
    <w:rsid w:val="00975A21"/>
    <w:rsid w:val="00993791"/>
    <w:rsid w:val="00995160"/>
    <w:rsid w:val="009A0637"/>
    <w:rsid w:val="009B7E15"/>
    <w:rsid w:val="009D653A"/>
    <w:rsid w:val="00A03FDB"/>
    <w:rsid w:val="00A7500B"/>
    <w:rsid w:val="00AA376D"/>
    <w:rsid w:val="00AF192F"/>
    <w:rsid w:val="00B12AFE"/>
    <w:rsid w:val="00B16B45"/>
    <w:rsid w:val="00B17B87"/>
    <w:rsid w:val="00B23F68"/>
    <w:rsid w:val="00B33F57"/>
    <w:rsid w:val="00B369F2"/>
    <w:rsid w:val="00B462CE"/>
    <w:rsid w:val="00B82B66"/>
    <w:rsid w:val="00B915CF"/>
    <w:rsid w:val="00BF4748"/>
    <w:rsid w:val="00C136F1"/>
    <w:rsid w:val="00C274C3"/>
    <w:rsid w:val="00C52013"/>
    <w:rsid w:val="00C543C7"/>
    <w:rsid w:val="00C55D5C"/>
    <w:rsid w:val="00C66DE5"/>
    <w:rsid w:val="00CA246D"/>
    <w:rsid w:val="00CA24CF"/>
    <w:rsid w:val="00CA46F0"/>
    <w:rsid w:val="00CB6DEE"/>
    <w:rsid w:val="00CD563B"/>
    <w:rsid w:val="00CD594B"/>
    <w:rsid w:val="00CD61C2"/>
    <w:rsid w:val="00D25BCC"/>
    <w:rsid w:val="00D56272"/>
    <w:rsid w:val="00D63B04"/>
    <w:rsid w:val="00D6421B"/>
    <w:rsid w:val="00DA544B"/>
    <w:rsid w:val="00E26822"/>
    <w:rsid w:val="00E77AF9"/>
    <w:rsid w:val="00E92428"/>
    <w:rsid w:val="00EA467C"/>
    <w:rsid w:val="00EE62E7"/>
    <w:rsid w:val="00F07EFC"/>
    <w:rsid w:val="00F31EB7"/>
    <w:rsid w:val="00F62CC7"/>
    <w:rsid w:val="00F82607"/>
    <w:rsid w:val="00FB1C99"/>
    <w:rsid w:val="00FD0870"/>
    <w:rsid w:val="00FD0A95"/>
    <w:rsid w:val="00FF2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569D7EF7"/>
  <w15:docId w15:val="{D99BEAEA-605A-48B3-AB92-C8AD7532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510B4F"/>
    <w:rPr>
      <w:rFonts w:cs="Times New Roman"/>
    </w:rPr>
  </w:style>
  <w:style w:type="paragraph" w:styleId="FootnoteText">
    <w:name w:val="footnote text"/>
    <w:aliases w:val="Char Char"/>
    <w:basedOn w:val="Normal"/>
    <w:link w:val="FootnoteTextChar1"/>
    <w:semiHidden/>
    <w:rsid w:val="00E92428"/>
    <w:pPr>
      <w:spacing w:after="0" w:line="240" w:lineRule="auto"/>
    </w:pPr>
    <w:rPr>
      <w:rFonts w:ascii="Times New Roman" w:eastAsia="Times New Roman" w:hAnsi="Times New Roman" w:cs="Times New Roman"/>
      <w:sz w:val="20"/>
      <w:szCs w:val="20"/>
      <w:lang w:val="en-GB" w:eastAsia="el-GR"/>
    </w:rPr>
  </w:style>
  <w:style w:type="character" w:customStyle="1" w:styleId="FootnoteTextChar">
    <w:name w:val="Footnote Text Char"/>
    <w:basedOn w:val="DefaultParagraphFont"/>
    <w:uiPriority w:val="99"/>
    <w:semiHidden/>
    <w:rsid w:val="00E92428"/>
    <w:rPr>
      <w:sz w:val="20"/>
      <w:szCs w:val="20"/>
    </w:rPr>
  </w:style>
  <w:style w:type="character" w:styleId="FootnoteReference">
    <w:name w:val="footnote reference"/>
    <w:basedOn w:val="DefaultParagraphFont"/>
    <w:semiHidden/>
    <w:rsid w:val="00E92428"/>
    <w:rPr>
      <w:vertAlign w:val="superscript"/>
    </w:rPr>
  </w:style>
  <w:style w:type="character" w:customStyle="1" w:styleId="FootnoteTextChar1">
    <w:name w:val="Footnote Text Char1"/>
    <w:aliases w:val="Char Char Char"/>
    <w:basedOn w:val="DefaultParagraphFont"/>
    <w:link w:val="FootnoteText"/>
    <w:semiHidden/>
    <w:rsid w:val="00E92428"/>
    <w:rPr>
      <w:rFonts w:ascii="Times New Roman" w:eastAsia="Times New Roman" w:hAnsi="Times New Roman" w:cs="Times New Roman"/>
      <w:sz w:val="20"/>
      <w:szCs w:val="20"/>
      <w:lang w:val="en-GB" w:eastAsia="el-GR"/>
    </w:rPr>
  </w:style>
  <w:style w:type="paragraph" w:styleId="Header">
    <w:name w:val="header"/>
    <w:basedOn w:val="Normal"/>
    <w:link w:val="HeaderChar"/>
    <w:uiPriority w:val="99"/>
    <w:unhideWhenUsed/>
    <w:rsid w:val="008F7E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7E44"/>
  </w:style>
  <w:style w:type="paragraph" w:styleId="Footer">
    <w:name w:val="footer"/>
    <w:basedOn w:val="Normal"/>
    <w:link w:val="FooterChar"/>
    <w:uiPriority w:val="99"/>
    <w:unhideWhenUsed/>
    <w:rsid w:val="008F7E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7E44"/>
  </w:style>
  <w:style w:type="character" w:styleId="Hyperlink">
    <w:name w:val="Hyperlink"/>
    <w:basedOn w:val="DefaultParagraphFont"/>
    <w:uiPriority w:val="99"/>
    <w:unhideWhenUsed/>
    <w:rsid w:val="00595639"/>
    <w:rPr>
      <w:color w:val="0000FF"/>
      <w:u w:val="single"/>
    </w:rPr>
  </w:style>
  <w:style w:type="character" w:customStyle="1" w:styleId="citation">
    <w:name w:val="citation"/>
    <w:basedOn w:val="DefaultParagraphFont"/>
    <w:rsid w:val="00595639"/>
  </w:style>
  <w:style w:type="character" w:customStyle="1" w:styleId="mw-cite-backlink">
    <w:name w:val="mw-cite-backlink"/>
    <w:basedOn w:val="DefaultParagraphFont"/>
    <w:rsid w:val="00595639"/>
  </w:style>
  <w:style w:type="paragraph" w:styleId="ListParagraph">
    <w:name w:val="List Paragraph"/>
    <w:basedOn w:val="Normal"/>
    <w:uiPriority w:val="34"/>
    <w:qFormat/>
    <w:rsid w:val="008B2B94"/>
    <w:pPr>
      <w:ind w:left="720"/>
      <w:contextualSpacing/>
    </w:pPr>
  </w:style>
  <w:style w:type="table" w:styleId="TableGrid">
    <w:name w:val="Table Grid"/>
    <w:basedOn w:val="TableNormal"/>
    <w:uiPriority w:val="59"/>
    <w:rsid w:val="008B2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
    <w:name w:val="Medium Grid 1"/>
    <w:basedOn w:val="TableNormal"/>
    <w:uiPriority w:val="67"/>
    <w:rsid w:val="00341BF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BodyTextIndent">
    <w:name w:val="Body Text Indent"/>
    <w:basedOn w:val="Normal"/>
    <w:link w:val="BodyTextIndentChar"/>
    <w:rsid w:val="00C66DE5"/>
    <w:pPr>
      <w:spacing w:after="0" w:line="240" w:lineRule="auto"/>
      <w:ind w:firstLine="720"/>
    </w:pPr>
    <w:rPr>
      <w:rFonts w:ascii="Times New Roman" w:eastAsia="Times New Roman" w:hAnsi="Times New Roman" w:cs="Times New Roman"/>
      <w:sz w:val="20"/>
      <w:szCs w:val="20"/>
      <w:lang w:val="en-US" w:eastAsia="de-DE"/>
    </w:rPr>
  </w:style>
  <w:style w:type="character" w:customStyle="1" w:styleId="BodyTextIndentChar">
    <w:name w:val="Body Text Indent Char"/>
    <w:basedOn w:val="DefaultParagraphFont"/>
    <w:link w:val="BodyTextIndent"/>
    <w:rsid w:val="00C66DE5"/>
    <w:rPr>
      <w:rFonts w:ascii="Times New Roman" w:eastAsia="Times New Roman" w:hAnsi="Times New Roman" w:cs="Times New Roman"/>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769581">
      <w:bodyDiv w:val="1"/>
      <w:marLeft w:val="0"/>
      <w:marRight w:val="0"/>
      <w:marTop w:val="0"/>
      <w:marBottom w:val="0"/>
      <w:divBdr>
        <w:top w:val="none" w:sz="0" w:space="0" w:color="auto"/>
        <w:left w:val="none" w:sz="0" w:space="0" w:color="auto"/>
        <w:bottom w:val="none" w:sz="0" w:space="0" w:color="auto"/>
        <w:right w:val="none" w:sz="0" w:space="0" w:color="auto"/>
      </w:divBdr>
    </w:div>
    <w:div w:id="1763913083">
      <w:bodyDiv w:val="1"/>
      <w:marLeft w:val="0"/>
      <w:marRight w:val="0"/>
      <w:marTop w:val="0"/>
      <w:marBottom w:val="0"/>
      <w:divBdr>
        <w:top w:val="none" w:sz="0" w:space="0" w:color="auto"/>
        <w:left w:val="none" w:sz="0" w:space="0" w:color="auto"/>
        <w:bottom w:val="none" w:sz="0" w:space="0" w:color="auto"/>
        <w:right w:val="none" w:sz="0" w:space="0" w:color="auto"/>
      </w:divBdr>
      <w:divsChild>
        <w:div w:id="857037913">
          <w:marLeft w:val="0"/>
          <w:marRight w:val="0"/>
          <w:marTop w:val="0"/>
          <w:marBottom w:val="0"/>
          <w:divBdr>
            <w:top w:val="none" w:sz="0" w:space="0" w:color="auto"/>
            <w:left w:val="none" w:sz="0" w:space="0" w:color="auto"/>
            <w:bottom w:val="none" w:sz="0" w:space="0" w:color="auto"/>
            <w:right w:val="none" w:sz="0" w:space="0" w:color="auto"/>
          </w:divBdr>
          <w:divsChild>
            <w:div w:id="1044065461">
              <w:marLeft w:val="0"/>
              <w:marRight w:val="0"/>
              <w:marTop w:val="0"/>
              <w:marBottom w:val="0"/>
              <w:divBdr>
                <w:top w:val="none" w:sz="0" w:space="0" w:color="auto"/>
                <w:left w:val="none" w:sz="0" w:space="0" w:color="auto"/>
                <w:bottom w:val="none" w:sz="0" w:space="0" w:color="auto"/>
                <w:right w:val="none" w:sz="0" w:space="0" w:color="auto"/>
              </w:divBdr>
              <w:divsChild>
                <w:div w:id="1247347200">
                  <w:marLeft w:val="0"/>
                  <w:marRight w:val="0"/>
                  <w:marTop w:val="0"/>
                  <w:marBottom w:val="0"/>
                  <w:divBdr>
                    <w:top w:val="none" w:sz="0" w:space="0" w:color="auto"/>
                    <w:left w:val="none" w:sz="0" w:space="0" w:color="auto"/>
                    <w:bottom w:val="none" w:sz="0" w:space="0" w:color="auto"/>
                    <w:right w:val="none" w:sz="0" w:space="0" w:color="auto"/>
                  </w:divBdr>
                  <w:divsChild>
                    <w:div w:id="17940149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wikipedia.org/w/index.php?title=Journal_of_Common_Market_Studies&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4403</Words>
  <Characters>25103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dc:creator>
  <cp:lastModifiedBy>DIMITRIOS BOURANTONIS</cp:lastModifiedBy>
  <cp:revision>2</cp:revision>
  <cp:lastPrinted>2013-02-21T19:13:00Z</cp:lastPrinted>
  <dcterms:created xsi:type="dcterms:W3CDTF">2024-05-21T16:32:00Z</dcterms:created>
  <dcterms:modified xsi:type="dcterms:W3CDTF">2024-05-21T16:32:00Z</dcterms:modified>
</cp:coreProperties>
</file>