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120"/>
        <w:jc w:val="center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Ομαδική Εργασία – Ασκήσεις Οικονομικών των Επιχειρήσεων</w:t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Μέλη ομάδας (αλφαβητικά):</w:t>
      </w:r>
    </w:p>
    <w:p>
      <w:pPr>
        <w:spacing w:after="4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1. Κωνσταντίνος Δημητρακάκης</w:t>
      </w:r>
    </w:p>
    <w:p>
      <w:pPr>
        <w:spacing w:after="4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2. Αφροδίτη Κουτσογιάννη</w:t>
      </w:r>
    </w:p>
    <w:p>
      <w:pPr>
        <w:spacing w:after="4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3. Αντριάνα Μπαλωτή</w:t>
      </w:r>
    </w:p>
    <w:p>
      <w:pPr>
        <w:spacing w:after="4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4. Νικόλαος Σακαλίδης</w:t>
      </w:r>
    </w:p>
    <w:p>
      <w:pPr>
        <w:spacing w:after="4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5. Σωτήρης Σπύρου</w:t>
      </w:r>
    </w:p>
    <w:p>
      <w:pPr>
        <w:spacing w:after="4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6. Αλέξανδρος Τράμπας</w:t>
      </w:r>
    </w:p>
    <w:p>
      <w:pPr>
        <w:spacing w:after="4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7. Μαρία Τριανταφύλλου</w:t>
      </w:r>
    </w:p>
    <w:p>
      <w:pPr>
        <w:spacing w:after="4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8. Άρης Φάρκας</w:t>
      </w:r>
    </w:p>
    <w:p>
      <w:pPr>
        <w:keepNext/>
        <w:pBdr>
          <w:bottom w:val="single" w:color="1F3864" w:sz="8" w:space="4"/>
        </w:pBdr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Ερώτηση 1 – Επενδύσεις υπό αβεβαιότητα και μη αναστρεψιμότητα</w:t>
      </w:r>
    </w:p>
    <w:p>
      <w:pPr>
        <w:spacing w:after="120" w:line="276"/>
      </w:pPr>
      <w:r>
        <w:rPr>
          <w:rFonts w:ascii="Calibri" w:cs="Calibri" w:eastAsia="Calibri" w:hAnsi="Calibri"/>
          <w:sz w:val="22"/>
          <w:szCs w:val="22"/>
        </w:rPr>
        <w:t xml:space="preserve">Μια επιχείρηση εξετάζει μια επένδυση ύψους 500.000 €, με εκτιμώμενο NPV = 40.000 €. Λόγω της μη αναστρέψιμης φύσης της επένδυσης, το ασφάλιστρο μη αναστρεψιμότητας (IRP) εκτιμάται σε 30.000 €. Μετά από μια αύξηση της οικονομικής αβεβαιότητας, το IRP αυξάνεται σε 45.000 €, ενώ το εκτιμώμενο NPV παραμένει σταθερό.</w:t>
      </w:r>
    </w:p>
    <w:p>
      <w:pPr>
        <w:keepNext/>
        <w:spacing w:after="120" w:line="276"/>
      </w:pPr>
      <w:r>
        <w:rPr>
          <w:rFonts w:ascii="Calibri" w:cs="Calibri" w:eastAsia="Calibri" w:hAnsi="Calibri"/>
          <w:sz w:val="22"/>
          <w:szCs w:val="22"/>
        </w:rPr>
        <w:t xml:space="preserve">Ποια από τις παρακάτω αποφάσεις είναι η ορθότερη;</w:t>
      </w:r>
    </w:p>
    <w:p>
      <w:pPr>
        <w:tabs>
          <w:tab w:val="left" w:pos="720"/>
        </w:tabs>
        <w:spacing w:after="80" w:line="276"/>
        <w:ind w:left="720" w:hanging="360"/>
      </w:pPr>
      <w:r>
        <w:rPr>
          <w:rFonts w:ascii="Calibri" w:cs="Calibri" w:eastAsia="Calibri" w:hAnsi="Calibri"/>
          <w:sz w:val="22"/>
          <w:szCs w:val="22"/>
        </w:rPr>
        <w:t xml:space="preserve">Α.	Η επιχείρηση πρέπει να επενδύσει, καθώς το NPV είναι θετικό και υπερβαίνει το αρχικό IRP.</w:t>
      </w:r>
    </w:p>
    <w:p>
      <w:pPr>
        <w:tabs>
          <w:tab w:val="left" w:pos="720"/>
        </w:tabs>
        <w:spacing w:after="80" w:line="276"/>
        <w:ind w:left="720" w:hanging="360"/>
      </w:pPr>
      <w:r>
        <w:rPr>
          <w:rFonts w:ascii="Calibri" w:cs="Calibri" w:eastAsia="Calibri" w:hAnsi="Calibri"/>
          <w:sz w:val="22"/>
          <w:szCs w:val="22"/>
        </w:rPr>
        <w:t xml:space="preserve">Β.	Η επιχείρηση πρέπει να αναβάλει την επένδυση, καθώς το NPV πλέον υπολείπεται του IRP, ενώ η αυξημένη αβεβαιότητα ενισχύει το κίνητρο αναμονής.</w:t>
      </w:r>
    </w:p>
    <w:p>
      <w:pPr>
        <w:tabs>
          <w:tab w:val="left" w:pos="720"/>
        </w:tabs>
        <w:spacing w:after="80" w:line="276"/>
        <w:ind w:left="720" w:hanging="360"/>
      </w:pPr>
      <w:r>
        <w:rPr>
          <w:rFonts w:ascii="Calibri" w:cs="Calibri" w:eastAsia="Calibri" w:hAnsi="Calibri"/>
          <w:sz w:val="22"/>
          <w:szCs w:val="22"/>
        </w:rPr>
        <w:t xml:space="preserve">Γ.	Η επιχείρηση πρέπει να απορρίψει οριστικά την επένδυση, καθώς η αύξηση του IRP σημαίνει ότι το NPV έγινε αρνητικό.</w:t>
      </w:r>
    </w:p>
    <w:p>
      <w:pPr>
        <w:tabs>
          <w:tab w:val="left" w:pos="720"/>
        </w:tabs>
        <w:spacing w:after="80" w:line="276"/>
        <w:ind w:left="720" w:hanging="360"/>
      </w:pPr>
      <w:r>
        <w:rPr>
          <w:rFonts w:ascii="Calibri" w:cs="Calibri" w:eastAsia="Calibri" w:hAnsi="Calibri"/>
          <w:sz w:val="22"/>
          <w:szCs w:val="22"/>
        </w:rPr>
        <w:t xml:space="preserve">Δ.	Η επιχείρηση πρέπει να επενδύσει, καθώς το IRP επηρεάζει μόνο επενδύσεις με αρνητικό NPV.</w:t>
      </w:r>
    </w:p>
    <w:p>
      <w:pPr>
        <w:pBdr>
          <w:left w:val="single" w:color="548235" w:sz="24" w:space="6"/>
        </w:pBdr>
        <w:shd w:fill="E2EFDA" w:val="clear"/>
        <w:spacing w:after="12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Σωστή απάντηση: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Β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Αιτιολόγηση: </w:t>
      </w:r>
      <w:r>
        <w:rPr>
          <w:rFonts w:ascii="Calibri" w:cs="Calibri" w:eastAsia="Calibri" w:hAnsi="Calibri"/>
          <w:sz w:val="22"/>
          <w:szCs w:val="22"/>
        </w:rPr>
        <w:t xml:space="preserve">Αρχικά, NPV = 40.000 € &gt; IRP = 30.000 €, επομένως πληρούται ο κανόνας για την πραγματοποίηση της μη αναστρέψιμης επένδυσης. Μετά την αύξηση της αβεβαιότητας, όμως, NPV = 40.000 € &lt; IRP = 45.000 €. Συνεπώς, η επιχείρηση έχει κίνητρο να αναβάλει την επένδυση και να περιμένει περισσότερες πληροφορίες.</w:t>
      </w:r>
    </w:p>
    <w:p>
      <w:pPr>
        <w:shd w:fill="FFF2CC" w:val="clear"/>
        <w:spacing w:after="120" w:line="276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Προσοχή: </w:t>
      </w:r>
      <w:r>
        <w:rPr>
          <w:rFonts w:ascii="Calibri" w:cs="Calibri" w:eastAsia="Calibri" w:hAnsi="Calibri"/>
          <w:sz w:val="22"/>
          <w:szCs w:val="22"/>
        </w:rPr>
        <w:t xml:space="preserve">Το NPV παραμένει θετικό. Αυτό που άλλαξε είναι το IRP, άρα η επένδυση δεν πρέπει να πραγματοποιηθεί αυτομάτως μόνο και μόνο επειδή δημιουργεί θετική καθαρή παρούσα αξία. Η αναβολή, επίσης, δεν σημαίνει απαραίτητα οριστική απόρριψη.</w:t>
      </w:r>
    </w:p>
    <w:p>
      <w:pPr>
        <w:keepNext/>
        <w:pBdr>
          <w:bottom w:val="single" w:color="1F3864" w:sz="8" w:space="4"/>
        </w:pBdr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Ερώτηση 2 – Δημοσιονομικό έλλειμμα και αγορά δανείων</w:t>
      </w:r>
    </w:p>
    <w:p>
      <w:pPr>
        <w:spacing w:after="120" w:line="276"/>
      </w:pPr>
      <w:r>
        <w:rPr>
          <w:rFonts w:ascii="Calibri" w:cs="Calibri" w:eastAsia="Calibri" w:hAnsi="Calibri"/>
          <w:sz w:val="22"/>
          <w:szCs w:val="22"/>
        </w:rPr>
        <w:t xml:space="preserve">Η ΕΛΣΤΑΤ ανακοίνωσε τα αποτελέσματα του πρώτου τριμήνου του έτους και το δημοσιονομικό έλλειμμα αυξήθηκε κατά 3%, πάνω από την πρόβλεψη για 1%. Η χώρα αποφάσισε να προχωρήσει σε έκτακτη έκδοση εντόκων γραμματίων διάρκειας 52 εβδομάδων για να καλύψει τις ανάγκες της.</w:t>
      </w:r>
    </w:p>
    <w:p>
      <w:pPr>
        <w:keepNext/>
        <w:spacing w:after="120" w:line="276"/>
      </w:pPr>
      <w:r>
        <w:rPr>
          <w:rFonts w:ascii="Calibri" w:cs="Calibri" w:eastAsia="Calibri" w:hAnsi="Calibri"/>
          <w:sz w:val="22"/>
          <w:szCs w:val="22"/>
        </w:rPr>
        <w:t xml:space="preserve">Ποια από τις παρακάτω επιλογές περιγράφει τον αντίκτυπο αυτής της απόφασης στην εγχώρια αγορά δανείων;</w:t>
      </w:r>
    </w:p>
    <w:p>
      <w:pPr>
        <w:tabs>
          <w:tab w:val="left" w:pos="720"/>
        </w:tabs>
        <w:spacing w:after="80" w:line="276"/>
        <w:ind w:left="720" w:hanging="360"/>
      </w:pPr>
      <w:r>
        <w:rPr>
          <w:rFonts w:ascii="Calibri" w:cs="Calibri" w:eastAsia="Calibri" w:hAnsi="Calibri"/>
          <w:sz w:val="22"/>
          <w:szCs w:val="22"/>
        </w:rPr>
        <w:t xml:space="preserve">Α.	Τα επιτόκια δανεισμού θα μειωθούν καθώς η ζήτηση θα μειωθεί.</w:t>
      </w:r>
    </w:p>
    <w:p>
      <w:pPr>
        <w:tabs>
          <w:tab w:val="left" w:pos="720"/>
        </w:tabs>
        <w:spacing w:after="80" w:line="276"/>
        <w:ind w:left="720" w:hanging="360"/>
      </w:pPr>
      <w:r>
        <w:rPr>
          <w:rFonts w:ascii="Calibri" w:cs="Calibri" w:eastAsia="Calibri" w:hAnsi="Calibri"/>
          <w:sz w:val="22"/>
          <w:szCs w:val="22"/>
        </w:rPr>
        <w:t xml:space="preserve">Β.	Τα επιτόκια δανεισμού θα αυξηθούν καθώς η ζήτηση θα αυξηθεί.</w:t>
      </w:r>
    </w:p>
    <w:p>
      <w:pPr>
        <w:tabs>
          <w:tab w:val="left" w:pos="720"/>
        </w:tabs>
        <w:spacing w:after="80" w:line="276"/>
        <w:ind w:left="720" w:hanging="360"/>
      </w:pPr>
      <w:r>
        <w:rPr>
          <w:rFonts w:ascii="Calibri" w:cs="Calibri" w:eastAsia="Calibri" w:hAnsi="Calibri"/>
          <w:sz w:val="22"/>
          <w:szCs w:val="22"/>
        </w:rPr>
        <w:t xml:space="preserve">Γ.	Τα επιτόκια δανεισμού θα αυξηθούν καθώς η προσφορά θα μειωθεί.</w:t>
      </w:r>
    </w:p>
    <w:p>
      <w:pPr>
        <w:tabs>
          <w:tab w:val="left" w:pos="720"/>
        </w:tabs>
        <w:spacing w:after="80" w:line="276"/>
        <w:ind w:left="720" w:hanging="360"/>
      </w:pPr>
      <w:r>
        <w:rPr>
          <w:rFonts w:ascii="Calibri" w:cs="Calibri" w:eastAsia="Calibri" w:hAnsi="Calibri"/>
          <w:sz w:val="22"/>
          <w:szCs w:val="22"/>
        </w:rPr>
        <w:t xml:space="preserve">Δ.	Τα επιτόκια δανεισμού θα παραμείνουν αμετάβλητα.</w:t>
      </w:r>
    </w:p>
    <w:p>
      <w:pPr>
        <w:pBdr>
          <w:left w:val="single" w:color="548235" w:sz="24" w:space="6"/>
        </w:pBdr>
        <w:shd w:fill="E2EFDA" w:val="clear"/>
        <w:spacing w:after="12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Σωστή απάντηση: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Β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Αιτιολόγηση: </w:t>
      </w:r>
      <w:r>
        <w:rPr>
          <w:rFonts w:ascii="Calibri" w:cs="Calibri" w:eastAsia="Calibri" w:hAnsi="Calibri"/>
          <w:sz w:val="22"/>
          <w:szCs w:val="22"/>
        </w:rPr>
        <w:t xml:space="preserve">Η καμπύλη ζήτησης θα μετατοπιστεί προς τα δεξιά, με αποτέλεσμα να αυξηθούν τα επιτόκια δανεισμού.</w:t>
      </w:r>
    </w:p>
    <w:p>
      <w:pPr>
        <w:keepNext/>
        <w:pBdr>
          <w:bottom w:val="single" w:color="1F3864" w:sz="8" w:space="4"/>
        </w:pBdr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Ερώτηση 3 – Αβεβαιότητα και μη αναστρεψιμότητα</w:t>
      </w:r>
    </w:p>
    <w:p>
      <w:pPr>
        <w:keepNext/>
        <w:spacing w:after="120" w:line="276"/>
      </w:pPr>
      <w:r>
        <w:rPr>
          <w:rFonts w:ascii="Calibri" w:cs="Calibri" w:eastAsia="Calibri" w:hAnsi="Calibri"/>
          <w:sz w:val="22"/>
          <w:szCs w:val="22"/>
        </w:rPr>
        <w:t xml:space="preserve">Μηχάνημα αξίας P_K = 300.000 € έχει διάρκεια χρήσης N = 10 έτη και το επιτόκιο είναι i = 5%. Μια εταιρεία leasing ζητά μίσθωμα 48.000 € ετησίως. Με τον τύπο UC = P_K·(δ + i) και δ = 1/N, ποιο είναι το κόστος χρήσης του κεφαλαίου και τι εκφράζει η διαφορά του από το μίσθωμα;</w:t>
      </w:r>
    </w:p>
    <w:p>
      <w:pPr>
        <w:tabs>
          <w:tab w:val="left" w:pos="720"/>
        </w:tabs>
        <w:spacing w:after="80" w:line="276"/>
        <w:ind w:left="720" w:hanging="360"/>
      </w:pPr>
      <w:r>
        <w:rPr>
          <w:rFonts w:ascii="Calibri" w:cs="Calibri" w:eastAsia="Calibri" w:hAnsi="Calibri"/>
          <w:sz w:val="22"/>
          <w:szCs w:val="22"/>
        </w:rPr>
        <w:t xml:space="preserve">Α.	UC = 15.000 € (μόνο ο τόκος). Η διαφορά (33.000 €) είναι το κέρδος του εκμισθωτή.</w:t>
      </w:r>
    </w:p>
    <w:p>
      <w:pPr>
        <w:tabs>
          <w:tab w:val="left" w:pos="720"/>
        </w:tabs>
        <w:spacing w:after="80" w:line="276"/>
        <w:ind w:left="720" w:hanging="360"/>
      </w:pPr>
      <w:r>
        <w:rPr>
          <w:rFonts w:ascii="Calibri" w:cs="Calibri" w:eastAsia="Calibri" w:hAnsi="Calibri"/>
          <w:sz w:val="22"/>
          <w:szCs w:val="22"/>
        </w:rPr>
        <w:t xml:space="preserve">Β.	UC = 45.000 €. Η διαφορά (3.000 € ετησίως) είναι το κέρδος της εταιρείας leasing.</w:t>
      </w:r>
    </w:p>
    <w:p>
      <w:pPr>
        <w:tabs>
          <w:tab w:val="left" w:pos="720"/>
        </w:tabs>
        <w:spacing w:after="80" w:line="276"/>
        <w:ind w:left="720" w:hanging="360"/>
      </w:pPr>
      <w:r>
        <w:rPr>
          <w:rFonts w:ascii="Calibri" w:cs="Calibri" w:eastAsia="Calibri" w:hAnsi="Calibri"/>
          <w:sz w:val="22"/>
          <w:szCs w:val="22"/>
        </w:rPr>
        <w:t xml:space="preserve">Γ.	UC = 30.000 € (μόνο η απόσβεση). Η διαφορά (18.000 €) είναι το κέρδος του εκμισθωτή.</w:t>
      </w:r>
    </w:p>
    <w:p>
      <w:pPr>
        <w:tabs>
          <w:tab w:val="left" w:pos="720"/>
        </w:tabs>
        <w:spacing w:after="80" w:line="276"/>
        <w:ind w:left="720" w:hanging="360"/>
      </w:pPr>
      <w:r>
        <w:rPr>
          <w:rFonts w:ascii="Calibri" w:cs="Calibri" w:eastAsia="Calibri" w:hAnsi="Calibri"/>
          <w:sz w:val="22"/>
          <w:szCs w:val="22"/>
        </w:rPr>
        <w:t xml:space="preserve">Δ.	UC = 45.000 €. Η διαφορά (3.000 € ετησίως) είναι ζημιά της εταιρείας leasing.</w:t>
      </w:r>
    </w:p>
    <w:p>
      <w:pPr>
        <w:pBdr>
          <w:left w:val="single" w:color="548235" w:sz="24" w:space="6"/>
        </w:pBdr>
        <w:shd w:fill="E2EFDA" w:val="clear"/>
        <w:spacing w:after="12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Σωστή απάντηση: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Β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Αιτιολόγηση: </w:t>
      </w:r>
      <w:r>
        <w:rPr>
          <w:rFonts w:ascii="Calibri" w:cs="Calibri" w:eastAsia="Calibri" w:hAnsi="Calibri"/>
          <w:sz w:val="22"/>
          <w:szCs w:val="22"/>
        </w:rPr>
        <w:t xml:space="preserve">Απόσβεση: δ = 1/N = 1/10 = 0,10. Κόστος χρήσης: UC = P_K·(δ + i) = 300.000 × (0,10 + 0,05) = 45.000 € ετησίως. Το UC περιλαμβάνει και την απόσβεση και το κόστος ευκαιρίας (τόκους) του κεφαλαίου που δεσμεύεται. Το μίσθωμα υπολογίζεται με τον ίδιο τρόπο, οπότε μίσθωμα − UC = 48.000 − 45.000 = 3.000 € είναι το κέρδος της εταιρείας leasing.</w:t>
      </w:r>
    </w:p>
    <w:p>
      <w:pPr>
        <w:shd w:fill="FFF2CC" w:val="clear"/>
        <w:spacing w:after="120" w:line="276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Προσοχή: </w:t>
      </w:r>
      <w:r>
        <w:rPr>
          <w:rFonts w:ascii="Calibri" w:cs="Calibri" w:eastAsia="Calibri" w:hAnsi="Calibri"/>
          <w:sz w:val="22"/>
          <w:szCs w:val="22"/>
        </w:rPr>
        <w:t xml:space="preserve">Η (Α) κρατά μόνο τον τόκο (300.000 × 0,05) και η (Γ) μόνο την απόσβεση (300.000 × 0,10), ξεχνώντας τον έναν από τους δύο όρους. Η (Δ) έχει σωστό UC αλλά λάθος πρόσημο: αφού το μίσθωμα είναι μεγαλύτερο από το UC, ο εκμισθωτής κερδίζει.</w:t>
      </w:r>
    </w:p>
    <w:p>
      <w:pPr>
        <w:keepNext/>
        <w:pBdr>
          <w:bottom w:val="single" w:color="1F3864" w:sz="8" w:space="4"/>
        </w:pBdr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Ερώτηση 4 – Δημοσιονομική πολιτική</w:t>
      </w:r>
    </w:p>
    <w:p>
      <w:pPr>
        <w:spacing w:after="120" w:line="276"/>
      </w:pPr>
      <w:r>
        <w:rPr>
          <w:rFonts w:ascii="Calibri" w:cs="Calibri" w:eastAsia="Calibri" w:hAnsi="Calibri"/>
          <w:sz w:val="22"/>
          <w:szCs w:val="22"/>
        </w:rPr>
        <w:t xml:space="preserve">Μια κυβέρνηση, αναλύοντας τα τελευταία δεδομένα του ΑΕΠ, βλέπει μια αισθητή μείωσή του, η οποία οφείλεται κυρίως στην κατανάλωση (C). Αποφασίζει λοιπόν να «τονώσει» την αγορά, ενόψει προεκλογικής περιόδου καθώς και περιόδου Χριστουγέννων, και αποφασίζει να μειώσει τον ΦΠΑ από 24% σε 18%, χωρίς να προβεί σε άλλες δαπάνες (έργα, επιδοτήσεις κ.λπ.) για αυτή την περίοδο.</w:t>
      </w:r>
    </w:p>
    <w:p>
      <w:pPr>
        <w:keepNext/>
        <w:spacing w:after="120" w:line="276"/>
      </w:pPr>
      <w:r>
        <w:rPr>
          <w:rFonts w:ascii="Calibri" w:cs="Calibri" w:eastAsia="Calibri" w:hAnsi="Calibri"/>
          <w:sz w:val="22"/>
          <w:szCs w:val="22"/>
        </w:rPr>
        <w:t xml:space="preserve">Πώς θα χαρακτηρίζατε την παραπάνω πολιτική;</w:t>
      </w:r>
    </w:p>
    <w:p>
      <w:pPr>
        <w:tabs>
          <w:tab w:val="left" w:pos="720"/>
        </w:tabs>
        <w:spacing w:after="80" w:line="276"/>
        <w:ind w:left="720" w:hanging="360"/>
      </w:pPr>
      <w:r>
        <w:rPr>
          <w:rFonts w:ascii="Calibri" w:cs="Calibri" w:eastAsia="Calibri" w:hAnsi="Calibri"/>
          <w:sz w:val="22"/>
          <w:szCs w:val="22"/>
        </w:rPr>
        <w:t xml:space="preserve">Α.	Στατική</w:t>
      </w:r>
    </w:p>
    <w:p>
      <w:pPr>
        <w:tabs>
          <w:tab w:val="left" w:pos="720"/>
        </w:tabs>
        <w:spacing w:after="80" w:line="276"/>
        <w:ind w:left="720" w:hanging="360"/>
      </w:pPr>
      <w:r>
        <w:rPr>
          <w:rFonts w:ascii="Calibri" w:cs="Calibri" w:eastAsia="Calibri" w:hAnsi="Calibri"/>
          <w:sz w:val="22"/>
          <w:szCs w:val="22"/>
        </w:rPr>
        <w:t xml:space="preserve">Β.	Καταναλωτική</w:t>
      </w:r>
    </w:p>
    <w:p>
      <w:pPr>
        <w:tabs>
          <w:tab w:val="left" w:pos="720"/>
        </w:tabs>
        <w:spacing w:after="80" w:line="276"/>
        <w:ind w:left="720" w:hanging="360"/>
      </w:pPr>
      <w:r>
        <w:rPr>
          <w:rFonts w:ascii="Calibri" w:cs="Calibri" w:eastAsia="Calibri" w:hAnsi="Calibri"/>
          <w:sz w:val="22"/>
          <w:szCs w:val="22"/>
        </w:rPr>
        <w:t xml:space="preserve">Γ.	Επεκτατική</w:t>
      </w:r>
    </w:p>
    <w:p>
      <w:pPr>
        <w:tabs>
          <w:tab w:val="left" w:pos="720"/>
        </w:tabs>
        <w:spacing w:after="80" w:line="276"/>
        <w:ind w:left="720" w:hanging="360"/>
      </w:pPr>
      <w:r>
        <w:rPr>
          <w:rFonts w:ascii="Calibri" w:cs="Calibri" w:eastAsia="Calibri" w:hAnsi="Calibri"/>
          <w:sz w:val="22"/>
          <w:szCs w:val="22"/>
        </w:rPr>
        <w:t xml:space="preserve">Δ.	Συσταλτική</w:t>
      </w:r>
    </w:p>
    <w:p>
      <w:pPr>
        <w:pBdr>
          <w:left w:val="single" w:color="548235" w:sz="24" w:space="6"/>
        </w:pBdr>
        <w:shd w:fill="E2EFDA" w:val="clear"/>
        <w:spacing w:after="12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Σωστή απάντηση: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Γ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Αιτιολόγηση: </w:t>
      </w:r>
      <w:r>
        <w:rPr>
          <w:rFonts w:ascii="Calibri" w:cs="Calibri" w:eastAsia="Calibri" w:hAnsi="Calibri"/>
          <w:sz w:val="22"/>
          <w:szCs w:val="22"/>
        </w:rPr>
        <w:t xml:space="preserve">Η μείωση του ΦΠΑ μειώνει τη φορολογική επιβάρυνση, αυξάνει το διαθέσιμο εισόδημα και τονώνει την κατανάλωση (C) και τη συνολική ζήτηση, χωρίς αντίστοιχη μείωση των δημόσιων δαπανών. Η μείωση φόρων είναι μέτρο επεκτατικής δημοσιονομικής πολιτικής.</w:t>
      </w:r>
    </w:p>
    <w:p>
      <w:pPr>
        <w:keepNext/>
        <w:pBdr>
          <w:bottom w:val="single" w:color="1F3864" w:sz="8" w:space="4"/>
        </w:pBdr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Ερώτηση 5 – Μη αναστρεψιμότητα και αναβολή επένδυσης</w:t>
      </w:r>
    </w:p>
    <w:p>
      <w:pPr>
        <w:spacing w:after="120" w:line="276"/>
      </w:pPr>
      <w:r>
        <w:rPr>
          <w:rFonts w:ascii="Calibri" w:cs="Calibri" w:eastAsia="Calibri" w:hAnsi="Calibri"/>
          <w:sz w:val="22"/>
          <w:szCs w:val="22"/>
        </w:rPr>
        <w:t xml:space="preserve">Δύο επιχειρήσεις εξετάζουν επενδύσεις με το ίδιο θετικό NPV. Η επιχείρηση Α σκοπεύει να αγοράσει φορτηγά, για τα οποία υπάρχει ενεργή αγορά μεταχειρισμένων. Η επιχείρηση Β σκοπεύει να αγοράσει εξοπλισμό σχεδιασμένο αποκλειστικά για τη δική της γραμμή παραγωγής. Ξαφνικά η αβεβαιότητα στην οικονομία αυξάνεται απότομα.</w:t>
      </w:r>
    </w:p>
    <w:p>
      <w:pPr>
        <w:keepNext/>
        <w:spacing w:after="120" w:line="276"/>
      </w:pPr>
      <w:r>
        <w:rPr>
          <w:rFonts w:ascii="Calibri" w:cs="Calibri" w:eastAsia="Calibri" w:hAnsi="Calibri"/>
          <w:sz w:val="22"/>
          <w:szCs w:val="22"/>
        </w:rPr>
        <w:t xml:space="preserve">Ποια πρόταση είναι σωστή;</w:t>
      </w:r>
    </w:p>
    <w:p>
      <w:pPr>
        <w:tabs>
          <w:tab w:val="left" w:pos="720"/>
        </w:tabs>
        <w:spacing w:after="80" w:line="276"/>
        <w:ind w:left="720" w:hanging="360"/>
      </w:pPr>
      <w:r>
        <w:rPr>
          <w:rFonts w:ascii="Calibri" w:cs="Calibri" w:eastAsia="Calibri" w:hAnsi="Calibri"/>
          <w:sz w:val="22"/>
          <w:szCs w:val="22"/>
        </w:rPr>
        <w:t xml:space="preserve">Α.	Και οι δύο επιχειρήσεις θα πρέπει να προχωρήσουν στην επένδυση, αφού το θετικό NPV αρκεί για να είναι μια επένδυση συμφέρουσα, ανεξάρτητα από το είδος του κεφαλαίου.</w:t>
      </w:r>
    </w:p>
    <w:p>
      <w:pPr>
        <w:tabs>
          <w:tab w:val="left" w:pos="720"/>
        </w:tabs>
        <w:spacing w:after="80" w:line="276"/>
        <w:ind w:left="720" w:hanging="360"/>
      </w:pPr>
      <w:r>
        <w:rPr>
          <w:rFonts w:ascii="Calibri" w:cs="Calibri" w:eastAsia="Calibri" w:hAnsi="Calibri"/>
          <w:sz w:val="22"/>
          <w:szCs w:val="22"/>
        </w:rPr>
        <w:t xml:space="preserve">Β.	Η αύξηση της αβεβαιότητας επηρεάζει τις δύο επιχειρήσεις εξίσου, αφού αφορά ολόκληρη την οικονομία και όχι τα χαρακτηριστικά του κεφαλαίου κάθε επιχείρησης.</w:t>
      </w:r>
    </w:p>
    <w:p>
      <w:pPr>
        <w:tabs>
          <w:tab w:val="left" w:pos="720"/>
        </w:tabs>
        <w:spacing w:after="80" w:line="276"/>
        <w:ind w:left="720" w:hanging="360"/>
      </w:pPr>
      <w:r>
        <w:rPr>
          <w:rFonts w:ascii="Calibri" w:cs="Calibri" w:eastAsia="Calibri" w:hAnsi="Calibri"/>
          <w:sz w:val="22"/>
          <w:szCs w:val="22"/>
        </w:rPr>
        <w:t xml:space="preserve">Γ.	Η επιχείρηση Β είναι πιο πιθανό να αναβάλει την επένδυση σε σχέση με την επιχείρηση Α.</w:t>
      </w:r>
    </w:p>
    <w:p>
      <w:pPr>
        <w:tabs>
          <w:tab w:val="left" w:pos="720"/>
        </w:tabs>
        <w:spacing w:after="80" w:line="276"/>
        <w:ind w:left="720" w:hanging="360"/>
      </w:pPr>
      <w:r>
        <w:rPr>
          <w:rFonts w:ascii="Calibri" w:cs="Calibri" w:eastAsia="Calibri" w:hAnsi="Calibri"/>
          <w:sz w:val="22"/>
          <w:szCs w:val="22"/>
        </w:rPr>
        <w:t xml:space="preserve">Δ.	Η επιχείρηση Α είναι πιο πιθανό να αναβάλει την επένδυση σε σχέση με την επιχείρηση Β.</w:t>
      </w:r>
    </w:p>
    <w:p>
      <w:pPr>
        <w:pBdr>
          <w:left w:val="single" w:color="548235" w:sz="24" w:space="6"/>
        </w:pBdr>
        <w:shd w:fill="E2EFDA" w:val="clear"/>
        <w:spacing w:after="12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Σωστή απάντηση: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Γ</w:t>
      </w:r>
    </w:p>
    <w:p>
      <w:pPr>
        <w:keepNext/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Αιτιολόγηση: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Ο εξοπλισμός της Β είναι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firm-specific</w:t>
      </w:r>
      <w:r>
        <w:rPr>
          <w:rFonts w:ascii="Calibri" w:cs="Calibri" w:eastAsia="Calibri" w:hAnsi="Calibri"/>
          <w:sz w:val="22"/>
          <w:szCs w:val="22"/>
        </w:rPr>
        <w:t xml:space="preserve">, η πιο ακραία μορφή μη αναστρεψιμότητας: αν η επένδυση αποτύχει, σχεδόν τίποτα δεν ανακτάται. Γι’ αυτό η Β έχει υψηλότερο IRP και πρέπει να ισχύει NPV &gt; IRP. Το ίδιο NPV, που αρκεί για την Α, μπορεί να μη φτάνει για τη Β.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Από την εξίσωση INV⁺ = α + β₁·IRR + β₂·UNC + β₃·(IRR·UNC), η επίδραση της αβεβαιότητας στην απόφαση επένδυσης είναι β₂ + β₃·IRR. Με β₃ &lt; 0, η επίδραση αυτή είναι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πιο αρνητική όσο μεγαλύτερη είναι η μη αναστρεψιμότητα</w:t>
      </w:r>
      <w:r>
        <w:rPr>
          <w:rFonts w:ascii="Calibri" w:cs="Calibri" w:eastAsia="Calibri" w:hAnsi="Calibri"/>
          <w:sz w:val="22"/>
          <w:szCs w:val="22"/>
        </w:rPr>
        <w:t xml:space="preserve">. Η ίδια αύξηση της αβεβαιότητας «χτυπάει» λοιπόν περισσότερο τη Β, που είναι πιο πιθανό να μπει στην inaction zone και να περιμένει (wait and see, deferral).</w:t>
      </w:r>
    </w:p>
    <w:sectPr>
      <w:pgSz w:w="11906" w:h="16838" w:orient="portrait"/>
      <w:pgMar w:top="1134" w:right="1304" w:bottom="1134" w:left="130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2026-10-27T08:54:46.169Z</dcterms:created>
  <dcterms:modified xsi:type="dcterms:W3CDTF">2026-10-27T08:54:46.169Z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