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F6D5" w14:textId="77777777" w:rsidR="00BA1682" w:rsidRDefault="00BA1682" w:rsidP="00BA1682">
      <w:pPr>
        <w:pStyle w:val="a3"/>
      </w:pPr>
      <w:r>
        <w:t>Οικονομικά για στελέχη επιχειρήσεων</w:t>
      </w:r>
    </w:p>
    <w:p w14:paraId="30000A0B" w14:textId="77777777" w:rsidR="00BA1682" w:rsidRPr="00BA1682" w:rsidRDefault="00BA1682" w:rsidP="00BA1682">
      <w:pPr>
        <w:pStyle w:val="a9"/>
        <w:rPr>
          <w:lang w:val="el-GR"/>
        </w:rPr>
      </w:pPr>
      <w:r w:rsidRPr="00BA1682">
        <w:rPr>
          <w:lang w:val="el-GR"/>
        </w:rPr>
        <w:t>Ερωτήσεις και αναλυτικές απαντήσεις</w:t>
      </w:r>
    </w:p>
    <w:p w14:paraId="0C8E1879" w14:textId="77777777" w:rsidR="00BA1682" w:rsidRDefault="00BA1682" w:rsidP="00BA1682">
      <w:pPr>
        <w:pStyle w:val="1"/>
      </w:pPr>
      <w:r>
        <w:t>Ομάδα 4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65"/>
        <w:gridCol w:w="4571"/>
        <w:gridCol w:w="5132"/>
      </w:tblGrid>
      <w:tr w:rsidR="00BA1682" w14:paraId="0931DF4A" w14:textId="77777777" w:rsidTr="008865F7">
        <w:trPr>
          <w:cantSplit/>
          <w:tblHeader/>
          <w:jc w:val="center"/>
        </w:trPr>
        <w:tc>
          <w:tcPr>
            <w:tcW w:w="665" w:type="dxa"/>
            <w:shd w:val="clear" w:color="auto" w:fill="233B60"/>
            <w:vAlign w:val="center"/>
          </w:tcPr>
          <w:p w14:paraId="424D9094" w14:textId="77777777" w:rsidR="00BA1682" w:rsidRDefault="00BA1682" w:rsidP="008865F7">
            <w:pPr>
              <w:keepNext/>
              <w:spacing w:line="252" w:lineRule="auto"/>
              <w:jc w:val="center"/>
            </w:pPr>
            <w:r>
              <w:rPr>
                <w:b/>
                <w:color w:val="FFFFFF"/>
                <w:sz w:val="20"/>
              </w:rPr>
              <w:t>Α/Α</w:t>
            </w:r>
          </w:p>
        </w:tc>
        <w:tc>
          <w:tcPr>
            <w:tcW w:w="4571" w:type="dxa"/>
            <w:shd w:val="clear" w:color="auto" w:fill="233B60"/>
            <w:vAlign w:val="center"/>
          </w:tcPr>
          <w:p w14:paraId="34B06791" w14:textId="77777777" w:rsidR="00BA1682" w:rsidRDefault="00BA1682" w:rsidP="008865F7">
            <w:pPr>
              <w:keepNext/>
              <w:spacing w:line="252" w:lineRule="auto"/>
            </w:pPr>
            <w:r>
              <w:rPr>
                <w:b/>
                <w:color w:val="FFFFFF"/>
                <w:sz w:val="20"/>
              </w:rPr>
              <w:t>Ονοματεπώνυμο</w:t>
            </w:r>
          </w:p>
        </w:tc>
        <w:tc>
          <w:tcPr>
            <w:tcW w:w="5132" w:type="dxa"/>
            <w:shd w:val="clear" w:color="auto" w:fill="233B60"/>
            <w:vAlign w:val="center"/>
          </w:tcPr>
          <w:p w14:paraId="6E81EB6E" w14:textId="77777777" w:rsidR="00BA1682" w:rsidRDefault="00BA1682" w:rsidP="008865F7">
            <w:pPr>
              <w:keepNext/>
              <w:spacing w:line="252" w:lineRule="auto"/>
            </w:pPr>
            <w:r>
              <w:rPr>
                <w:b/>
                <w:color w:val="FFFFFF"/>
                <w:sz w:val="20"/>
              </w:rPr>
              <w:t>Email</w:t>
            </w:r>
          </w:p>
        </w:tc>
      </w:tr>
      <w:tr w:rsidR="00BA1682" w14:paraId="0E9D07B1" w14:textId="77777777" w:rsidTr="008865F7">
        <w:trPr>
          <w:cantSplit/>
          <w:jc w:val="center"/>
        </w:trPr>
        <w:tc>
          <w:tcPr>
            <w:tcW w:w="665" w:type="dxa"/>
            <w:shd w:val="clear" w:color="auto" w:fill="FFFFFF"/>
            <w:vAlign w:val="center"/>
          </w:tcPr>
          <w:p w14:paraId="594FC4F7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1</w:t>
            </w:r>
          </w:p>
        </w:tc>
        <w:tc>
          <w:tcPr>
            <w:tcW w:w="4571" w:type="dxa"/>
            <w:shd w:val="clear" w:color="auto" w:fill="FFFFFF"/>
            <w:vAlign w:val="center"/>
          </w:tcPr>
          <w:p w14:paraId="64442294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Eftychia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Vardikou</w:t>
            </w:r>
            <w:proofErr w:type="spellEnd"/>
          </w:p>
        </w:tc>
        <w:tc>
          <w:tcPr>
            <w:tcW w:w="5132" w:type="dxa"/>
            <w:shd w:val="clear" w:color="auto" w:fill="FFFFFF"/>
            <w:vAlign w:val="center"/>
          </w:tcPr>
          <w:p w14:paraId="24EF625B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evardikou@aueb.gr</w:t>
            </w:r>
          </w:p>
        </w:tc>
      </w:tr>
      <w:tr w:rsidR="00BA1682" w14:paraId="60FFC2A3" w14:textId="77777777" w:rsidTr="008865F7">
        <w:trPr>
          <w:cantSplit/>
          <w:jc w:val="center"/>
        </w:trPr>
        <w:tc>
          <w:tcPr>
            <w:tcW w:w="665" w:type="dxa"/>
            <w:shd w:val="clear" w:color="auto" w:fill="F1F4F8"/>
            <w:vAlign w:val="center"/>
          </w:tcPr>
          <w:p w14:paraId="393CC17B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2</w:t>
            </w:r>
          </w:p>
        </w:tc>
        <w:tc>
          <w:tcPr>
            <w:tcW w:w="4571" w:type="dxa"/>
            <w:shd w:val="clear" w:color="auto" w:fill="F1F4F8"/>
            <w:vAlign w:val="center"/>
          </w:tcPr>
          <w:p w14:paraId="6AD75DA7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Eliona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Pappa</w:t>
            </w:r>
            <w:proofErr w:type="spellEnd"/>
          </w:p>
        </w:tc>
        <w:tc>
          <w:tcPr>
            <w:tcW w:w="5132" w:type="dxa"/>
            <w:shd w:val="clear" w:color="auto" w:fill="F1F4F8"/>
            <w:vAlign w:val="center"/>
          </w:tcPr>
          <w:p w14:paraId="6330C4EE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epappa1@aueb.gr</w:t>
            </w:r>
          </w:p>
        </w:tc>
      </w:tr>
      <w:tr w:rsidR="00BA1682" w14:paraId="2F14D97C" w14:textId="77777777" w:rsidTr="008865F7">
        <w:trPr>
          <w:cantSplit/>
          <w:jc w:val="center"/>
        </w:trPr>
        <w:tc>
          <w:tcPr>
            <w:tcW w:w="665" w:type="dxa"/>
            <w:shd w:val="clear" w:color="auto" w:fill="FFFFFF"/>
            <w:vAlign w:val="center"/>
          </w:tcPr>
          <w:p w14:paraId="4EDAE1CC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3</w:t>
            </w:r>
          </w:p>
        </w:tc>
        <w:tc>
          <w:tcPr>
            <w:tcW w:w="4571" w:type="dxa"/>
            <w:shd w:val="clear" w:color="auto" w:fill="FFFFFF"/>
            <w:vAlign w:val="center"/>
          </w:tcPr>
          <w:p w14:paraId="3E152F3E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Ilias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Panagiotopoulos</w:t>
            </w:r>
            <w:proofErr w:type="spellEnd"/>
          </w:p>
        </w:tc>
        <w:tc>
          <w:tcPr>
            <w:tcW w:w="5132" w:type="dxa"/>
            <w:shd w:val="clear" w:color="auto" w:fill="FFFFFF"/>
            <w:vAlign w:val="center"/>
          </w:tcPr>
          <w:p w14:paraId="4DC23916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ipanagiotopoulos@aueb.gr</w:t>
            </w:r>
          </w:p>
        </w:tc>
      </w:tr>
      <w:tr w:rsidR="00BA1682" w14:paraId="3A3784F3" w14:textId="77777777" w:rsidTr="008865F7">
        <w:trPr>
          <w:cantSplit/>
          <w:jc w:val="center"/>
        </w:trPr>
        <w:tc>
          <w:tcPr>
            <w:tcW w:w="665" w:type="dxa"/>
            <w:shd w:val="clear" w:color="auto" w:fill="F1F4F8"/>
            <w:vAlign w:val="center"/>
          </w:tcPr>
          <w:p w14:paraId="4DE83161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4</w:t>
            </w:r>
          </w:p>
        </w:tc>
        <w:tc>
          <w:tcPr>
            <w:tcW w:w="4571" w:type="dxa"/>
            <w:shd w:val="clear" w:color="auto" w:fill="F1F4F8"/>
            <w:vAlign w:val="center"/>
          </w:tcPr>
          <w:p w14:paraId="5FBB2D14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Konstantinos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Agrafiotis</w:t>
            </w:r>
            <w:proofErr w:type="spellEnd"/>
          </w:p>
        </w:tc>
        <w:tc>
          <w:tcPr>
            <w:tcW w:w="5132" w:type="dxa"/>
            <w:shd w:val="clear" w:color="auto" w:fill="F1F4F8"/>
            <w:vAlign w:val="center"/>
          </w:tcPr>
          <w:p w14:paraId="2ABD461D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kagrafiotis@aueb.gr</w:t>
            </w:r>
          </w:p>
        </w:tc>
      </w:tr>
      <w:tr w:rsidR="00BA1682" w14:paraId="4B53D3F7" w14:textId="77777777" w:rsidTr="008865F7">
        <w:trPr>
          <w:cantSplit/>
          <w:jc w:val="center"/>
        </w:trPr>
        <w:tc>
          <w:tcPr>
            <w:tcW w:w="665" w:type="dxa"/>
            <w:shd w:val="clear" w:color="auto" w:fill="FFFFFF"/>
            <w:vAlign w:val="center"/>
          </w:tcPr>
          <w:p w14:paraId="7EF443E0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5</w:t>
            </w:r>
          </w:p>
        </w:tc>
        <w:tc>
          <w:tcPr>
            <w:tcW w:w="4571" w:type="dxa"/>
            <w:shd w:val="clear" w:color="auto" w:fill="FFFFFF"/>
            <w:vAlign w:val="center"/>
          </w:tcPr>
          <w:p w14:paraId="7BDCF443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Konstantina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Evangelia</w:t>
            </w:r>
            <w:proofErr w:type="spellEnd"/>
            <w:r>
              <w:rPr>
                <w:color w:val="243247"/>
                <w:sz w:val="20"/>
              </w:rPr>
              <w:t xml:space="preserve"> Karadima</w:t>
            </w:r>
          </w:p>
        </w:tc>
        <w:tc>
          <w:tcPr>
            <w:tcW w:w="5132" w:type="dxa"/>
            <w:shd w:val="clear" w:color="auto" w:fill="FFFFFF"/>
            <w:vAlign w:val="center"/>
          </w:tcPr>
          <w:p w14:paraId="6693B356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kkaradima@aueb.gr</w:t>
            </w:r>
          </w:p>
        </w:tc>
      </w:tr>
      <w:tr w:rsidR="00BA1682" w14:paraId="55EE3112" w14:textId="77777777" w:rsidTr="008865F7">
        <w:trPr>
          <w:cantSplit/>
          <w:jc w:val="center"/>
        </w:trPr>
        <w:tc>
          <w:tcPr>
            <w:tcW w:w="665" w:type="dxa"/>
            <w:shd w:val="clear" w:color="auto" w:fill="F1F4F8"/>
            <w:vAlign w:val="center"/>
          </w:tcPr>
          <w:p w14:paraId="69F78FE2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6</w:t>
            </w:r>
          </w:p>
        </w:tc>
        <w:tc>
          <w:tcPr>
            <w:tcW w:w="4571" w:type="dxa"/>
            <w:shd w:val="clear" w:color="auto" w:fill="F1F4F8"/>
            <w:vAlign w:val="center"/>
          </w:tcPr>
          <w:p w14:paraId="5957B32E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Nikolaos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Plessas</w:t>
            </w:r>
            <w:proofErr w:type="spellEnd"/>
          </w:p>
        </w:tc>
        <w:tc>
          <w:tcPr>
            <w:tcW w:w="5132" w:type="dxa"/>
            <w:shd w:val="clear" w:color="auto" w:fill="F1F4F8"/>
            <w:vAlign w:val="center"/>
          </w:tcPr>
          <w:p w14:paraId="1481E300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nplessas@aueb.gr</w:t>
            </w:r>
          </w:p>
        </w:tc>
      </w:tr>
      <w:tr w:rsidR="00BA1682" w14:paraId="5E661AC5" w14:textId="77777777" w:rsidTr="008865F7">
        <w:trPr>
          <w:cantSplit/>
          <w:jc w:val="center"/>
        </w:trPr>
        <w:tc>
          <w:tcPr>
            <w:tcW w:w="665" w:type="dxa"/>
            <w:shd w:val="clear" w:color="auto" w:fill="FFFFFF"/>
            <w:vAlign w:val="center"/>
          </w:tcPr>
          <w:p w14:paraId="2DDD509D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7</w:t>
            </w:r>
          </w:p>
        </w:tc>
        <w:tc>
          <w:tcPr>
            <w:tcW w:w="4571" w:type="dxa"/>
            <w:shd w:val="clear" w:color="auto" w:fill="FFFFFF"/>
            <w:vAlign w:val="center"/>
          </w:tcPr>
          <w:p w14:paraId="1E6A5F0B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Nikolaos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Salachas</w:t>
            </w:r>
            <w:proofErr w:type="spellEnd"/>
          </w:p>
        </w:tc>
        <w:tc>
          <w:tcPr>
            <w:tcW w:w="5132" w:type="dxa"/>
            <w:shd w:val="clear" w:color="auto" w:fill="FFFFFF"/>
            <w:vAlign w:val="center"/>
          </w:tcPr>
          <w:p w14:paraId="71CCF1D3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nsalachas@aueb.gr</w:t>
            </w:r>
          </w:p>
        </w:tc>
      </w:tr>
      <w:tr w:rsidR="00BA1682" w14:paraId="5A4FB990" w14:textId="77777777" w:rsidTr="008865F7">
        <w:trPr>
          <w:cantSplit/>
          <w:jc w:val="center"/>
        </w:trPr>
        <w:tc>
          <w:tcPr>
            <w:tcW w:w="665" w:type="dxa"/>
            <w:shd w:val="clear" w:color="auto" w:fill="F1F4F8"/>
            <w:vAlign w:val="center"/>
          </w:tcPr>
          <w:p w14:paraId="0E1DDFCC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8</w:t>
            </w:r>
          </w:p>
        </w:tc>
        <w:tc>
          <w:tcPr>
            <w:tcW w:w="4571" w:type="dxa"/>
            <w:shd w:val="clear" w:color="auto" w:fill="F1F4F8"/>
            <w:vAlign w:val="center"/>
          </w:tcPr>
          <w:p w14:paraId="2B1F3BA0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Panagiotis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Koutsioumpelis</w:t>
            </w:r>
            <w:proofErr w:type="spellEnd"/>
          </w:p>
        </w:tc>
        <w:tc>
          <w:tcPr>
            <w:tcW w:w="5132" w:type="dxa"/>
            <w:shd w:val="clear" w:color="auto" w:fill="F1F4F8"/>
            <w:vAlign w:val="center"/>
          </w:tcPr>
          <w:p w14:paraId="683F2A89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pkoutsioumpelis@aueb.gr</w:t>
            </w:r>
          </w:p>
        </w:tc>
      </w:tr>
      <w:tr w:rsidR="00BA1682" w14:paraId="5DC3242C" w14:textId="77777777" w:rsidTr="008865F7">
        <w:trPr>
          <w:cantSplit/>
          <w:jc w:val="center"/>
        </w:trPr>
        <w:tc>
          <w:tcPr>
            <w:tcW w:w="665" w:type="dxa"/>
            <w:shd w:val="clear" w:color="auto" w:fill="FFFFFF"/>
            <w:vAlign w:val="center"/>
          </w:tcPr>
          <w:p w14:paraId="3F8EA374" w14:textId="77777777" w:rsidR="00BA1682" w:rsidRDefault="00BA1682" w:rsidP="008865F7">
            <w:pPr>
              <w:spacing w:line="252" w:lineRule="auto"/>
              <w:jc w:val="center"/>
            </w:pPr>
            <w:r>
              <w:rPr>
                <w:color w:val="243247"/>
                <w:sz w:val="20"/>
              </w:rPr>
              <w:t>9</w:t>
            </w:r>
          </w:p>
        </w:tc>
        <w:tc>
          <w:tcPr>
            <w:tcW w:w="4571" w:type="dxa"/>
            <w:shd w:val="clear" w:color="auto" w:fill="FFFFFF"/>
            <w:vAlign w:val="center"/>
          </w:tcPr>
          <w:p w14:paraId="5E216052" w14:textId="77777777" w:rsidR="00BA1682" w:rsidRDefault="00BA1682" w:rsidP="008865F7">
            <w:pPr>
              <w:spacing w:line="252" w:lineRule="auto"/>
            </w:pPr>
            <w:proofErr w:type="spellStart"/>
            <w:r>
              <w:rPr>
                <w:color w:val="243247"/>
                <w:sz w:val="20"/>
              </w:rPr>
              <w:t>Vassileios</w:t>
            </w:r>
            <w:proofErr w:type="spellEnd"/>
            <w:r>
              <w:rPr>
                <w:color w:val="243247"/>
                <w:sz w:val="20"/>
              </w:rPr>
              <w:t xml:space="preserve"> </w:t>
            </w:r>
            <w:proofErr w:type="spellStart"/>
            <w:r>
              <w:rPr>
                <w:color w:val="243247"/>
                <w:sz w:val="20"/>
              </w:rPr>
              <w:t>Galifianakis</w:t>
            </w:r>
            <w:proofErr w:type="spellEnd"/>
          </w:p>
        </w:tc>
        <w:tc>
          <w:tcPr>
            <w:tcW w:w="5132" w:type="dxa"/>
            <w:shd w:val="clear" w:color="auto" w:fill="FFFFFF"/>
            <w:vAlign w:val="center"/>
          </w:tcPr>
          <w:p w14:paraId="4179190F" w14:textId="77777777" w:rsidR="00BA1682" w:rsidRDefault="00BA1682" w:rsidP="008865F7">
            <w:pPr>
              <w:spacing w:line="252" w:lineRule="auto"/>
            </w:pPr>
            <w:r>
              <w:rPr>
                <w:color w:val="243247"/>
                <w:sz w:val="20"/>
              </w:rPr>
              <w:t>vgalifianakis@aueb.gr</w:t>
            </w:r>
          </w:p>
        </w:tc>
      </w:tr>
    </w:tbl>
    <w:p w14:paraId="224F9004" w14:textId="77777777" w:rsidR="00BA1682" w:rsidRDefault="00BA1682" w:rsidP="00BA1682">
      <w:pPr>
        <w:spacing w:after="40"/>
      </w:pPr>
    </w:p>
    <w:p w14:paraId="6EA67F4F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4008417B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74619CFC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56093C5C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0E95A012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035B7984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3C1C0912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59AA2DFD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229960F7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690F9F12" w14:textId="77777777" w:rsidR="00BA1682" w:rsidRDefault="00BA1682">
      <w:pPr>
        <w:spacing w:after="300"/>
        <w:jc w:val="center"/>
        <w:rPr>
          <w:b/>
          <w:bCs/>
          <w:sz w:val="36"/>
          <w:szCs w:val="36"/>
        </w:rPr>
      </w:pPr>
    </w:p>
    <w:p w14:paraId="3EC37F06" w14:textId="2761D148" w:rsidR="00A27EF4" w:rsidRDefault="00FC76B0">
      <w:pPr>
        <w:spacing w:after="300"/>
        <w:jc w:val="center"/>
      </w:pPr>
      <w:r>
        <w:rPr>
          <w:b/>
          <w:bCs/>
          <w:sz w:val="36"/>
          <w:szCs w:val="36"/>
        </w:rPr>
        <w:lastRenderedPageBreak/>
        <w:t>3η Εργασία: Ερωτήσεις 1–5</w:t>
      </w:r>
    </w:p>
    <w:p w14:paraId="3EC37F07" w14:textId="77777777" w:rsidR="00A27EF4" w:rsidRDefault="00FC76B0">
      <w:pPr>
        <w:pStyle w:val="1"/>
        <w:pBdr>
          <w:bottom w:val="single" w:sz="6" w:space="4" w:color="2E5C8A"/>
        </w:pBdr>
        <w:spacing w:before="120" w:after="160"/>
      </w:pPr>
      <w:r>
        <w:rPr>
          <w:b/>
          <w:bCs/>
          <w:color w:val="2E5C8A"/>
          <w:sz w:val="30"/>
          <w:szCs w:val="30"/>
        </w:rPr>
        <w:t>Ερώτηση 1</w:t>
      </w:r>
    </w:p>
    <w:p w14:paraId="3EC37F08" w14:textId="77777777" w:rsidR="00A27EF4" w:rsidRDefault="00FC76B0">
      <w:pPr>
        <w:spacing w:after="160"/>
      </w:pPr>
      <w:r>
        <w:rPr>
          <w:b/>
          <w:bCs/>
        </w:rPr>
        <w:t>Η οριακή ροπή προς κατανάλωση είναι β = 0,75. Η κυβέρνηση αυξάνει τις δημόσιες δαπάνες κατά 2 δισ. € και ταυτόχρονα αυξάνει τους φόρους κατά 2 δισ. €. Πόσο μεταβάλλεται το ΑΕΠ;</w:t>
      </w:r>
    </w:p>
    <w:p w14:paraId="3EC37F09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Α.  </w:t>
      </w:r>
      <w:r>
        <w:t xml:space="preserve">0 €, γιατί η αύξηση των δαπανών και των φόρων </w:t>
      </w:r>
      <w:proofErr w:type="spellStart"/>
      <w:r>
        <w:t>αλληλοεξουδετερώνονται</w:t>
      </w:r>
      <w:proofErr w:type="spellEnd"/>
    </w:p>
    <w:p w14:paraId="3EC37F0A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Β.  </w:t>
      </w:r>
      <w:r>
        <w:t>+8 δισ. €</w:t>
      </w:r>
    </w:p>
    <w:p w14:paraId="3EC37F0B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Γ.  </w:t>
      </w:r>
      <w:r>
        <w:t>+2 δισ. €</w:t>
      </w:r>
    </w:p>
    <w:p w14:paraId="3EC37F0C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Δ.  </w:t>
      </w:r>
      <w:r>
        <w:t>−</w:t>
      </w:r>
      <w:r>
        <w:t>6 δισ. €</w:t>
      </w:r>
    </w:p>
    <w:p w14:paraId="3EC37F0D" w14:textId="77777777" w:rsidR="00A27EF4" w:rsidRDefault="00FC76B0">
      <w:pPr>
        <w:spacing w:before="200" w:after="120"/>
      </w:pPr>
      <w:r>
        <w:rPr>
          <w:b/>
          <w:bCs/>
          <w:color w:val="1E7B34"/>
        </w:rPr>
        <w:t>Σωστή απάντηση: Γ</w:t>
      </w:r>
    </w:p>
    <w:p w14:paraId="3EC37F0E" w14:textId="77777777" w:rsidR="00A27EF4" w:rsidRDefault="00FC76B0">
      <w:pPr>
        <w:spacing w:after="80"/>
      </w:pPr>
      <w:r>
        <w:rPr>
          <w:b/>
          <w:bCs/>
        </w:rPr>
        <w:t>Αιτιολόγηση:</w:t>
      </w:r>
    </w:p>
    <w:p w14:paraId="3EC37F0F" w14:textId="77777777" w:rsidR="00A27EF4" w:rsidRDefault="00FC76B0">
      <w:pPr>
        <w:spacing w:after="100"/>
      </w:pPr>
      <w:r>
        <w:t>Ο πολλαπλασιαστής δαπανών είναι 1/(1 − 0,75) = 4, άρα οι δαπάνες προσθέτουν 4 × 2 = +8 δισ. €.</w:t>
      </w:r>
    </w:p>
    <w:p w14:paraId="3EC37F10" w14:textId="77777777" w:rsidR="00A27EF4" w:rsidRDefault="00FC76B0">
      <w:pPr>
        <w:spacing w:after="100"/>
      </w:pPr>
      <w:r>
        <w:t>Ο φορολογικός πολλαπλασιαστής είναι −0,75/0,25 = −3, άρα οι φόροι αφαιρούν 3 × 2 = −6 δισ. €.</w:t>
      </w:r>
    </w:p>
    <w:p w14:paraId="3EC37F11" w14:textId="77777777" w:rsidR="00A27EF4" w:rsidRDefault="00FC76B0">
      <w:pPr>
        <w:spacing w:after="100"/>
      </w:pPr>
      <w:r>
        <w:t>Συνολικά ΔΥ = 8 − 6 = +2 δισ. €. Αυτό επιβεβαιώνει ότι ο πολλαπλασιαστής ισοσκελισμένου προϋπολογισμού ισούται με 1.</w:t>
      </w:r>
    </w:p>
    <w:p w14:paraId="3EC37F12" w14:textId="77777777" w:rsidR="00A27EF4" w:rsidRDefault="00FC76B0">
      <w:pPr>
        <w:pStyle w:val="1"/>
        <w:pBdr>
          <w:bottom w:val="single" w:sz="6" w:space="4" w:color="2E5C8A"/>
        </w:pBdr>
        <w:spacing w:before="360" w:after="160"/>
      </w:pPr>
      <w:r>
        <w:rPr>
          <w:b/>
          <w:bCs/>
          <w:color w:val="2E5C8A"/>
          <w:sz w:val="30"/>
          <w:szCs w:val="30"/>
        </w:rPr>
        <w:t>Ερώτηση 2</w:t>
      </w:r>
    </w:p>
    <w:p w14:paraId="3EC37F13" w14:textId="77777777" w:rsidR="00A27EF4" w:rsidRDefault="00FC76B0">
      <w:pPr>
        <w:spacing w:after="160"/>
      </w:pPr>
      <w:r>
        <w:rPr>
          <w:b/>
          <w:bCs/>
        </w:rPr>
        <w:t xml:space="preserve">Δύο μηχανήματα κοστίζουν </w:t>
      </w:r>
      <w:proofErr w:type="spellStart"/>
      <w:r>
        <w:rPr>
          <w:b/>
          <w:bCs/>
        </w:rPr>
        <w:t>P_k</w:t>
      </w:r>
      <w:proofErr w:type="spellEnd"/>
      <w:r>
        <w:rPr>
          <w:b/>
          <w:bCs/>
        </w:rPr>
        <w:t xml:space="preserve"> = 200.000 € το καθένα, έχουν ωφέλιμη ζωή 10 έτη και το επιτόκιο είναι 5%. Το πρώτο είναι ένα φορτηγό γενικής χρήσης. Το δεύτερο είναι εξειδικευμένο μηχάνημα φτιαγμένο για μία μόνο επιχείρηση. Μια εταιρεία </w:t>
      </w:r>
      <w:proofErr w:type="spellStart"/>
      <w:r>
        <w:rPr>
          <w:b/>
          <w:bCs/>
        </w:rPr>
        <w:t>leasing</w:t>
      </w:r>
      <w:proofErr w:type="spellEnd"/>
      <w:r>
        <w:rPr>
          <w:b/>
          <w:bCs/>
        </w:rPr>
        <w:t xml:space="preserve"> ζητάει ετήσιο μίσθωμα 33.000 € για το φορτηγό και 60.000 € για το εξειδικευμένο μηχάνημα. Ποια ερμηνεία είναι σωστή;</w:t>
      </w:r>
    </w:p>
    <w:p w14:paraId="3EC37F14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Α.  </w:t>
      </w:r>
      <w:r>
        <w:t xml:space="preserve">Το UC είναι </w:t>
      </w:r>
      <w:proofErr w:type="spellStart"/>
      <w:r>
        <w:t>P_k·δ</w:t>
      </w:r>
      <w:proofErr w:type="spellEnd"/>
      <w:r>
        <w:t xml:space="preserve"> = 20.000 €, άρα η εταιρεία </w:t>
      </w:r>
      <w:proofErr w:type="spellStart"/>
      <w:r>
        <w:t>leasing</w:t>
      </w:r>
      <w:proofErr w:type="spellEnd"/>
      <w:r>
        <w:t xml:space="preserve"> κερδίζει 13.000 € από το φορτηγό.</w:t>
      </w:r>
    </w:p>
    <w:p w14:paraId="3EC37F15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Β.  </w:t>
      </w:r>
      <w:r>
        <w:t>Το υψηλότερο μίσθωμα του εξειδικευμένου μηχανήματος οφείλεται σε ταχύτερη απόσβεση.</w:t>
      </w:r>
    </w:p>
    <w:p w14:paraId="3EC37F16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Γ.  </w:t>
      </w:r>
      <w:r>
        <w:t xml:space="preserve">Το UC είναι 30.000 € και για τα δύο. Τα 3.000 € του φορτηγού είναι το κέρδος της εταιρείας </w:t>
      </w:r>
      <w:proofErr w:type="spellStart"/>
      <w:r>
        <w:t>leasing</w:t>
      </w:r>
      <w:proofErr w:type="spellEnd"/>
      <w:r>
        <w:t xml:space="preserve">. Τα επιπλέον 27.000 € του εξειδικευμένου μηχανήματος αποζημιώνουν τη μη </w:t>
      </w:r>
      <w:proofErr w:type="spellStart"/>
      <w:r>
        <w:t>αναστρεψιμότητα</w:t>
      </w:r>
      <w:proofErr w:type="spellEnd"/>
      <w:r>
        <w:t xml:space="preserve"> (IRP): αν ο μισθωτής αποχωρήσει, η εταιρεία </w:t>
      </w:r>
      <w:proofErr w:type="spellStart"/>
      <w:r>
        <w:t>leasing</w:t>
      </w:r>
      <w:proofErr w:type="spellEnd"/>
      <w:r>
        <w:t xml:space="preserve"> δεν έχει σε ποιον άλλον να το νοικιάσει ή να το πουλήσει.</w:t>
      </w:r>
    </w:p>
    <w:p w14:paraId="3EC37F17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Δ.  </w:t>
      </w:r>
      <w:r>
        <w:t xml:space="preserve">Το μίσθωμα 60.000 € δείχνει ότι το εξειδικευμένο μηχάνημα είναι πιο </w:t>
      </w:r>
      <w:proofErr w:type="spellStart"/>
      <w:r>
        <w:t>reversible</w:t>
      </w:r>
      <w:proofErr w:type="spellEnd"/>
      <w:r>
        <w:t>, γιατί έχει μεγαλύτερη αγοραία αξία χρήσης.</w:t>
      </w:r>
    </w:p>
    <w:p w14:paraId="3EC37F18" w14:textId="77777777" w:rsidR="00A27EF4" w:rsidRDefault="00FC76B0">
      <w:pPr>
        <w:spacing w:before="200" w:after="120"/>
      </w:pPr>
      <w:r>
        <w:rPr>
          <w:b/>
          <w:bCs/>
          <w:color w:val="1E7B34"/>
        </w:rPr>
        <w:t>Σωστή απάντηση: Γ</w:t>
      </w:r>
    </w:p>
    <w:p w14:paraId="3EC37F19" w14:textId="77777777" w:rsidR="00A27EF4" w:rsidRDefault="00FC76B0">
      <w:pPr>
        <w:spacing w:after="80"/>
      </w:pPr>
      <w:r>
        <w:rPr>
          <w:b/>
          <w:bCs/>
        </w:rPr>
        <w:t>Αιτιολόγηση:</w:t>
      </w:r>
    </w:p>
    <w:p w14:paraId="3EC37F1A" w14:textId="77777777" w:rsidR="00A27EF4" w:rsidRDefault="00FC76B0">
      <w:pPr>
        <w:spacing w:after="100"/>
      </w:pPr>
      <w:r>
        <w:t xml:space="preserve">Με δ = 1/N = 0,10 και i = 0,05, το κόστος χρήσης είναι UC = </w:t>
      </w:r>
      <w:proofErr w:type="spellStart"/>
      <w:r>
        <w:t>P_k</w:t>
      </w:r>
      <w:proofErr w:type="spellEnd"/>
      <w:r>
        <w:t>(δ + i) = 200.000 × (0,10 + 0,05) = 30.000 €, και για τα δύο μηχανήματα.</w:t>
      </w:r>
    </w:p>
    <w:p w14:paraId="3EC37F1B" w14:textId="77777777" w:rsidR="00A27EF4" w:rsidRDefault="00FC76B0">
      <w:pPr>
        <w:spacing w:after="100"/>
      </w:pPr>
      <w:r>
        <w:lastRenderedPageBreak/>
        <w:t xml:space="preserve">Η διαφορά ανάμεσα στο μίσθωμα και στο UC είναι το κέρδος της εταιρείας </w:t>
      </w:r>
      <w:proofErr w:type="spellStart"/>
      <w:r>
        <w:t>leasing</w:t>
      </w:r>
      <w:proofErr w:type="spellEnd"/>
      <w:r>
        <w:t xml:space="preserve">: 33.000 − 30.000 = 3.000 € για το φορτηγό. Για το εξειδικευμένο μηχάνημα, τα 60.000 − 30.000 = 30.000 € περιλαμβάνουν ένα μεγάλο IRP που αποζημιώνει τη μη </w:t>
      </w:r>
      <w:proofErr w:type="spellStart"/>
      <w:r>
        <w:t>αναστρεψιμότητα</w:t>
      </w:r>
      <w:proofErr w:type="spellEnd"/>
      <w:r>
        <w:t xml:space="preserve">. Γι’ αυτό το </w:t>
      </w:r>
      <w:proofErr w:type="spellStart"/>
      <w:r>
        <w:t>leasing</w:t>
      </w:r>
      <w:proofErr w:type="spellEnd"/>
      <w:r>
        <w:t xml:space="preserve"> υπάρχει κυρίως για </w:t>
      </w:r>
      <w:proofErr w:type="spellStart"/>
      <w:r>
        <w:t>reversible</w:t>
      </w:r>
      <w:proofErr w:type="spellEnd"/>
      <w:r>
        <w:t xml:space="preserve"> </w:t>
      </w:r>
      <w:proofErr w:type="spellStart"/>
      <w:r>
        <w:t>assets</w:t>
      </w:r>
      <w:proofErr w:type="spellEnd"/>
      <w:r>
        <w:t>.</w:t>
      </w:r>
    </w:p>
    <w:p w14:paraId="3EC37F1C" w14:textId="77777777" w:rsidR="00A27EF4" w:rsidRDefault="00FC76B0">
      <w:pPr>
        <w:pStyle w:val="1"/>
        <w:pBdr>
          <w:bottom w:val="single" w:sz="6" w:space="4" w:color="2E5C8A"/>
        </w:pBdr>
        <w:spacing w:before="360" w:after="160"/>
      </w:pPr>
      <w:r>
        <w:rPr>
          <w:b/>
          <w:bCs/>
          <w:color w:val="2E5C8A"/>
          <w:sz w:val="30"/>
          <w:szCs w:val="30"/>
        </w:rPr>
        <w:t>Ερώτηση 3</w:t>
      </w:r>
    </w:p>
    <w:p w14:paraId="3EC37F1D" w14:textId="77777777" w:rsidR="00A27EF4" w:rsidRDefault="00FC76B0">
      <w:pPr>
        <w:spacing w:after="160"/>
      </w:pPr>
      <w:r>
        <w:rPr>
          <w:b/>
          <w:bCs/>
        </w:rPr>
        <w:t>Η κυβέρνηση ανακοινώνει ότι εξετάζει μια γενναία επιδότηση για νέες επενδύσεις σε εξοπλισμό. Η απόφαση θα ληφθεί σε 6 μήνες και δεν είναι σίγουρο ότι θα περάσει. Στο διάστημα αυτό ο δείκτης EPU ανεβαίνει, και οι επενδύσεις σε εξειδικευμένο εξοπλισμό μειώνονται, παρότι η πολιτική που συζητείται είναι ευνοϊκή για τις επιχειρήσεις. Ποια είναι η καλύτερη εξήγηση;</w:t>
      </w:r>
    </w:p>
    <w:p w14:paraId="3EC37F1E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Α.  </w:t>
      </w:r>
      <w:r>
        <w:t>Οι επιχειρήσεις ερμηνεύουν την ανακοίνωση ως ένδειξη ότι η οικονομία είναι αδύναμη και γίνονται απαισιόδοξες για τη ζήτηση.</w:t>
      </w:r>
    </w:p>
    <w:p w14:paraId="3EC37F1F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Β.  </w:t>
      </w:r>
      <w:r>
        <w:t>Οι επιχειρήσεις περιμένουν ότι η επιδότηση θα αυξήσει το έλλειμμα. Το επιτόκιο θα ανέβει (</w:t>
      </w:r>
      <w:proofErr w:type="spellStart"/>
      <w:r>
        <w:t>crowding</w:t>
      </w:r>
      <w:proofErr w:type="spellEnd"/>
      <w:r>
        <w:t xml:space="preserve"> </w:t>
      </w:r>
      <w:proofErr w:type="spellStart"/>
      <w:r>
        <w:t>out</w:t>
      </w:r>
      <w:proofErr w:type="spellEnd"/>
      <w:r>
        <w:t>) και η ΚΠΑ των έργων θα μειωθεί.</w:t>
      </w:r>
    </w:p>
    <w:p w14:paraId="3EC37F20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Γ.  </w:t>
      </w:r>
      <w:r>
        <w:t xml:space="preserve">Η αβεβαιότητα για το αν θα περάσει η επιδότηση δίνει αξία στην αναμονή. Όποιος επενδύσει σήμερα σε μη αναστρέψιμο εξοπλισμό χάνει την επιδότηση, αν τελικά εγκριθεί, και δεν μπορεί να αναιρέσει την αγορά. Οι επιχειρήσεις μένουν στην </w:t>
      </w:r>
      <w:proofErr w:type="spellStart"/>
      <w:r>
        <w:t>inaction</w:t>
      </w:r>
      <w:proofErr w:type="spellEnd"/>
      <w:r>
        <w:t xml:space="preserve"> </w:t>
      </w:r>
      <w:proofErr w:type="spellStart"/>
      <w:r>
        <w:t>zone</w:t>
      </w:r>
      <w:proofErr w:type="spellEnd"/>
      <w:r>
        <w:t xml:space="preserve"> μέχρι να ξεκαθαρίσει το τοπίο.</w:t>
      </w:r>
    </w:p>
    <w:p w14:paraId="3EC37F21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Δ.  </w:t>
      </w:r>
      <w:r>
        <w:t>Η αβεβαιότητα κάνει τις τράπεζες πιο επιφυλακτικές και ανεβάζει το επιτόκιο δανεισμού. Το κόστος κεφαλαίου αυξάνεται, η ΚΠΑ των έργων πέφτει κάτω από το μηδέν και οι επιχειρήσεις τα απορρίπτουν.</w:t>
      </w:r>
    </w:p>
    <w:p w14:paraId="3EC37F22" w14:textId="77777777" w:rsidR="00A27EF4" w:rsidRDefault="00FC76B0">
      <w:pPr>
        <w:spacing w:before="200" w:after="120"/>
      </w:pPr>
      <w:r>
        <w:rPr>
          <w:b/>
          <w:bCs/>
          <w:color w:val="1E7B34"/>
        </w:rPr>
        <w:t>Σωστή απάντηση: Γ</w:t>
      </w:r>
    </w:p>
    <w:p w14:paraId="3EC37F23" w14:textId="77777777" w:rsidR="00A27EF4" w:rsidRDefault="00FC76B0">
      <w:pPr>
        <w:spacing w:after="80"/>
      </w:pPr>
      <w:r>
        <w:rPr>
          <w:b/>
          <w:bCs/>
        </w:rPr>
        <w:t>Αιτιολόγηση:</w:t>
      </w:r>
    </w:p>
    <w:p w14:paraId="3EC37F24" w14:textId="77777777" w:rsidR="00A27EF4" w:rsidRDefault="00FC76B0">
      <w:pPr>
        <w:spacing w:after="100"/>
      </w:pPr>
      <w:r>
        <w:t xml:space="preserve">Είναι η λογική των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options</w:t>
      </w:r>
      <w:proofErr w:type="spellEnd"/>
      <w:r>
        <w:t xml:space="preserve">. Μια μη αναστρέψιμη επένδυση μοιάζει με την άσκηση ενός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option</w:t>
      </w:r>
      <w:proofErr w:type="spellEnd"/>
      <w:r>
        <w:t>: αν επενδύσει σήμερα, η επιχείρηση χάνει τη δυνατότητα να περιμένει νέα πληροφορία, εδώ το αν θα εγκριθεί η επιδότηση.</w:t>
      </w:r>
    </w:p>
    <w:p w14:paraId="3EC37F25" w14:textId="77777777" w:rsidR="00A27EF4" w:rsidRDefault="00FC76B0">
      <w:pPr>
        <w:spacing w:after="100"/>
      </w:pPr>
      <w:r>
        <w:t>Επειδή ο εξοπλισμός είναι εξειδικευμένος, δεν μπορεί να τον πουλήσει και να τον ξαναγοράσει αργότερα με επιδότηση. Η αβεβαιότητα ανεβάζει το IRP, το κατώφλι ΚΠΑ &gt; 0 + IRP απομακρύνεται και η καλύτερη απόφαση είναι «</w:t>
      </w:r>
      <w:proofErr w:type="spellStart"/>
      <w:r>
        <w:t>wait</w:t>
      </w:r>
      <w:proofErr w:type="spellEnd"/>
      <w:r>
        <w:t xml:space="preserve"> and </w:t>
      </w:r>
      <w:proofErr w:type="spellStart"/>
      <w:r>
        <w:t>see</w:t>
      </w:r>
      <w:proofErr w:type="spellEnd"/>
      <w:r>
        <w:t>» (</w:t>
      </w:r>
      <w:proofErr w:type="spellStart"/>
      <w:r>
        <w:t>inaction</w:t>
      </w:r>
      <w:proofErr w:type="spellEnd"/>
      <w:r>
        <w:t xml:space="preserve"> </w:t>
      </w:r>
      <w:proofErr w:type="spellStart"/>
      <w:r>
        <w:t>zone</w:t>
      </w:r>
      <w:proofErr w:type="spellEnd"/>
      <w:r>
        <w:t>).</w:t>
      </w:r>
    </w:p>
    <w:p w14:paraId="3EC37F26" w14:textId="77777777" w:rsidR="00A27EF4" w:rsidRDefault="00FC76B0">
      <w:pPr>
        <w:pStyle w:val="1"/>
        <w:pBdr>
          <w:bottom w:val="single" w:sz="6" w:space="4" w:color="2E5C8A"/>
        </w:pBdr>
        <w:spacing w:before="360" w:after="160"/>
      </w:pPr>
      <w:r>
        <w:rPr>
          <w:b/>
          <w:bCs/>
          <w:color w:val="2E5C8A"/>
          <w:sz w:val="30"/>
          <w:szCs w:val="30"/>
        </w:rPr>
        <w:t>Ερώτηση 4</w:t>
      </w:r>
    </w:p>
    <w:p w14:paraId="3EC37F27" w14:textId="77777777" w:rsidR="00A27EF4" w:rsidRDefault="00FC76B0">
      <w:pPr>
        <w:spacing w:after="160"/>
      </w:pPr>
      <w:r>
        <w:rPr>
          <w:b/>
          <w:bCs/>
        </w:rPr>
        <w:t xml:space="preserve">Μια εταιρεία θέλει να αγοράσει 10 φορητούς υπολογιστές έναντι 1000 ευρώ ο καθένας και σκοπεύει να τους κρατήσει για χρήση 5 έτη. Στο τέλος των 5 ετών η εταιρεία θα μεταπουλήσει τους υπολογιστές στην αξία που θα έχουν τότε. Το επιτόκιο είναι 10%. Ποιο είναι το κόστος χρήσης των υπολογιστών για το πρώτο έτος; Υπάρχει κόστος ευκαιρίας εδώ και αν ναι πόσο; Τέλος, η επένδυση θεωρείται </w:t>
      </w:r>
      <w:proofErr w:type="spellStart"/>
      <w:r>
        <w:rPr>
          <w:b/>
          <w:bCs/>
        </w:rPr>
        <w:t>reversible</w:t>
      </w:r>
      <w:proofErr w:type="spellEnd"/>
      <w:r>
        <w:rPr>
          <w:b/>
          <w:bCs/>
        </w:rPr>
        <w:t>;</w:t>
      </w:r>
    </w:p>
    <w:p w14:paraId="3EC37F28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Α.  </w:t>
      </w:r>
      <w:r>
        <w:t xml:space="preserve">Κόστος χρήσης 1ου έτους 3000 ευρώ. Κόστος ευκαιρίας 1000 ευρώ το 1ο χρόνο άρα 5000 ευρώ συνολικά. Η επένδυση είναι </w:t>
      </w:r>
      <w:proofErr w:type="spellStart"/>
      <w:r>
        <w:t>reversible</w:t>
      </w:r>
      <w:proofErr w:type="spellEnd"/>
      <w:r>
        <w:t>.</w:t>
      </w:r>
    </w:p>
    <w:p w14:paraId="3EC37F29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Β.  </w:t>
      </w:r>
      <w:r>
        <w:t xml:space="preserve">Κόστος χρήσης 1ου έτους 2000 ευρώ. Δεν υπάρχει κόστος ευκαιρίας. Η επένδυση είναι </w:t>
      </w:r>
      <w:proofErr w:type="spellStart"/>
      <w:r>
        <w:t>reversible</w:t>
      </w:r>
      <w:proofErr w:type="spellEnd"/>
      <w:r>
        <w:t>.</w:t>
      </w:r>
    </w:p>
    <w:p w14:paraId="3EC37F2A" w14:textId="77777777" w:rsidR="00A27EF4" w:rsidRDefault="00FC76B0">
      <w:pPr>
        <w:spacing w:after="100"/>
        <w:ind w:left="540" w:hanging="400"/>
      </w:pPr>
      <w:r>
        <w:rPr>
          <w:b/>
          <w:bCs/>
        </w:rPr>
        <w:lastRenderedPageBreak/>
        <w:t xml:space="preserve">Γ.  </w:t>
      </w:r>
      <w:r>
        <w:t xml:space="preserve">Κόστος χρήσης 1ου έτους 3000 ευρώ. Κόστος ευκαιρίας 1000 ευρώ το 1ο χρόνο, 3000 ευρώ συνολικά. Η επένδυση είναι </w:t>
      </w:r>
      <w:proofErr w:type="spellStart"/>
      <w:r>
        <w:t>reversible</w:t>
      </w:r>
      <w:proofErr w:type="spellEnd"/>
      <w:r>
        <w:t>.</w:t>
      </w:r>
    </w:p>
    <w:p w14:paraId="3EC37F2B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Δ.  </w:t>
      </w:r>
      <w:r>
        <w:t xml:space="preserve">Κόστος χρήσης 1ου έτους 3000 ευρώ. Υπάρχει κόστος ευκαιρίας 3000 ευρώ συνολικά. Η επένδυση είναι </w:t>
      </w:r>
      <w:proofErr w:type="spellStart"/>
      <w:r>
        <w:t>irreversible</w:t>
      </w:r>
      <w:proofErr w:type="spellEnd"/>
      <w:r>
        <w:t>, γιατί η τιμή μεταπώλησης είναι χαμηλότερη από την τιμή αγοράς.</w:t>
      </w:r>
    </w:p>
    <w:p w14:paraId="3EC37F2C" w14:textId="77777777" w:rsidR="00A27EF4" w:rsidRDefault="00FC76B0">
      <w:pPr>
        <w:spacing w:before="200" w:after="120"/>
      </w:pPr>
      <w:r>
        <w:rPr>
          <w:b/>
          <w:bCs/>
          <w:color w:val="1E7B34"/>
        </w:rPr>
        <w:t>Σωστή απάντηση: Γ</w:t>
      </w:r>
    </w:p>
    <w:p w14:paraId="3EC37F2D" w14:textId="77777777" w:rsidR="00A27EF4" w:rsidRDefault="00FC76B0">
      <w:pPr>
        <w:spacing w:after="80"/>
      </w:pPr>
      <w:r>
        <w:rPr>
          <w:b/>
          <w:bCs/>
        </w:rPr>
        <w:t>Αιτιολόγηση:</w:t>
      </w:r>
    </w:p>
    <w:p w14:paraId="3EC37F2E" w14:textId="77777777" w:rsidR="00A27EF4" w:rsidRDefault="00FC76B0">
      <w:pPr>
        <w:spacing w:after="100"/>
      </w:pPr>
      <w:r>
        <w:t>Η αρχική αξία είναι 10 × 1000 = 10.000 €. Η απόσβεση είναι δ = 1/5 = 20% της αρχικής αξίας, δηλαδή 2000 € τον χρόνο.</w:t>
      </w:r>
    </w:p>
    <w:p w14:paraId="3EC37F2F" w14:textId="77777777" w:rsidR="00A27EF4" w:rsidRDefault="00FC76B0">
      <w:pPr>
        <w:spacing w:after="100"/>
      </w:pPr>
      <w:r>
        <w:t xml:space="preserve">Κόστος χρήσης 1ου έτους: UC = </w:t>
      </w:r>
      <w:proofErr w:type="spellStart"/>
      <w:r>
        <w:t>P_k</w:t>
      </w:r>
      <w:proofErr w:type="spellEnd"/>
      <w:r>
        <w:t xml:space="preserve"> × (δ + i) = 10.000 × (0,20 + 0,10) = 3000 €.</w:t>
      </w:r>
    </w:p>
    <w:p w14:paraId="3EC37F30" w14:textId="77777777" w:rsidR="00A27EF4" w:rsidRDefault="00FC76B0">
      <w:pPr>
        <w:spacing w:after="100"/>
      </w:pPr>
      <w:r>
        <w:t xml:space="preserve">Κόστος ευκαιρίας: για το 1ο έτος </w:t>
      </w:r>
      <w:proofErr w:type="spellStart"/>
      <w:r>
        <w:t>P_k</w:t>
      </w:r>
      <w:proofErr w:type="spellEnd"/>
      <w:r>
        <w:t xml:space="preserve"> × i = 10.000 × 0,1 = 1000 €. Κάθε χρόνο η αξία μειώνεται κατά 2000 €, άρα το συνολικό κόστος ευκαιρίας με σταθερό επιτόκιο είναι (10.000 + 8.000 + 6.000 + 4.000 + 2.000) × 0,1 = 3000 €.</w:t>
      </w:r>
    </w:p>
    <w:p w14:paraId="3EC37F31" w14:textId="77777777" w:rsidR="00A27EF4" w:rsidRDefault="00FC76B0">
      <w:pPr>
        <w:spacing w:after="100"/>
      </w:pPr>
      <w:r>
        <w:t xml:space="preserve">Η επένδυση είναι </w:t>
      </w:r>
      <w:proofErr w:type="spellStart"/>
      <w:r>
        <w:t>reversible</w:t>
      </w:r>
      <w:proofErr w:type="spellEnd"/>
      <w:r>
        <w:t xml:space="preserve">, γιατί μετά τα 5 έτη η εταιρεία θα μεταπουλήσει τους υπολογιστές και θα πάρει πίσω την </w:t>
      </w:r>
      <w:proofErr w:type="spellStart"/>
      <w:r>
        <w:t>αναπόσβεστη</w:t>
      </w:r>
      <w:proofErr w:type="spellEnd"/>
      <w:r>
        <w:t xml:space="preserve"> αξία.</w:t>
      </w:r>
    </w:p>
    <w:p w14:paraId="3EC37F32" w14:textId="77777777" w:rsidR="00A27EF4" w:rsidRDefault="00FC76B0">
      <w:pPr>
        <w:pStyle w:val="1"/>
        <w:pBdr>
          <w:bottom w:val="single" w:sz="6" w:space="4" w:color="2E5C8A"/>
        </w:pBdr>
        <w:spacing w:before="360" w:after="160"/>
      </w:pPr>
      <w:r>
        <w:rPr>
          <w:b/>
          <w:bCs/>
          <w:color w:val="2E5C8A"/>
          <w:sz w:val="30"/>
          <w:szCs w:val="30"/>
        </w:rPr>
        <w:t>Ερώτηση 5</w:t>
      </w:r>
    </w:p>
    <w:p w14:paraId="3EC37F33" w14:textId="77777777" w:rsidR="00A27EF4" w:rsidRDefault="00FC76B0">
      <w:pPr>
        <w:spacing w:after="160"/>
      </w:pPr>
      <w:r>
        <w:rPr>
          <w:b/>
          <w:bCs/>
        </w:rPr>
        <w:t>Μια επένδυση απαιτεί αρχικό κόστος K0 = 8.000€ και αναμένεται να αποφέρει χρηματικές ροές CF1 = 4.400€ στο 1ο έτος και CF2 = 6.050€ στο 2ο έτος. Με επιτόκιο προεξόφλησης i = 10%, ποια είναι η Καθαρή Παρούσα Αξία NPV και ποια η απόφαση επένδυσης;</w:t>
      </w:r>
    </w:p>
    <w:p w14:paraId="3EC37F34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Α.  </w:t>
      </w:r>
      <w:r>
        <w:t>NPV = −1.000€</w:t>
      </w:r>
    </w:p>
    <w:p w14:paraId="3EC37F35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Β.  </w:t>
      </w:r>
      <w:r>
        <w:t>NPV = 1.000€</w:t>
      </w:r>
    </w:p>
    <w:p w14:paraId="3EC37F36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Γ.  </w:t>
      </w:r>
      <w:r>
        <w:t>NPV = 2.450€</w:t>
      </w:r>
    </w:p>
    <w:p w14:paraId="3EC37F37" w14:textId="77777777" w:rsidR="00A27EF4" w:rsidRDefault="00FC76B0">
      <w:pPr>
        <w:spacing w:after="100"/>
        <w:ind w:left="540" w:hanging="400"/>
      </w:pPr>
      <w:r>
        <w:rPr>
          <w:b/>
          <w:bCs/>
        </w:rPr>
        <w:t xml:space="preserve">Δ.  </w:t>
      </w:r>
      <w:r>
        <w:t>NPV = 0€</w:t>
      </w:r>
    </w:p>
    <w:p w14:paraId="3EC37F38" w14:textId="77777777" w:rsidR="00A27EF4" w:rsidRDefault="00FC76B0">
      <w:pPr>
        <w:spacing w:before="200" w:after="120"/>
      </w:pPr>
      <w:r>
        <w:rPr>
          <w:b/>
          <w:bCs/>
          <w:color w:val="1E7B34"/>
        </w:rPr>
        <w:t>Σωστή απάντηση: Β</w:t>
      </w:r>
    </w:p>
    <w:p w14:paraId="3EC37F39" w14:textId="77777777" w:rsidR="00A27EF4" w:rsidRDefault="00FC76B0">
      <w:pPr>
        <w:spacing w:after="80"/>
      </w:pPr>
      <w:r>
        <w:rPr>
          <w:b/>
          <w:bCs/>
        </w:rPr>
        <w:t>Αιτιολόγηση:</w:t>
      </w:r>
    </w:p>
    <w:p w14:paraId="3EC37F3A" w14:textId="77777777" w:rsidR="00A27EF4" w:rsidRDefault="00FC76B0">
      <w:pPr>
        <w:spacing w:after="100"/>
      </w:pPr>
      <w:r>
        <w:t>Ο τύπος της Καθαρής Παρούσας Αξίας είναι: NPV = −K0 + CF1/(1 + i) + CF2/(1 + i)².</w:t>
      </w:r>
    </w:p>
    <w:p w14:paraId="3EC37F3B" w14:textId="77777777" w:rsidR="00A27EF4" w:rsidRDefault="00FC76B0">
      <w:pPr>
        <w:spacing w:after="100"/>
      </w:pPr>
      <w:r>
        <w:t>Παρούσες αξίες των ροών: 1ο έτος: 4.400 / 1,10 = 4.000 €. 2ο έτος: 6.050 / 1,10² = 6.050 / 1,21 = 5.000 €.</w:t>
      </w:r>
    </w:p>
    <w:p w14:paraId="3EC37F3C" w14:textId="77777777" w:rsidR="00A27EF4" w:rsidRDefault="00FC76B0">
      <w:pPr>
        <w:spacing w:after="100"/>
      </w:pPr>
      <w:r>
        <w:t>NPV = −8.000 + 4.000 + 5.000 = +1.000 €. Επειδή NPV &gt; 0, η επένδυση κρίνεται συμφέρουσα και πραγματοποιείται.</w:t>
      </w:r>
    </w:p>
    <w:sectPr w:rsidR="00A27EF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B5391"/>
    <w:multiLevelType w:val="hybridMultilevel"/>
    <w:tmpl w:val="53E256E6"/>
    <w:lvl w:ilvl="0" w:tplc="3F94A2A8">
      <w:start w:val="1"/>
      <w:numFmt w:val="bullet"/>
      <w:lvlText w:val="●"/>
      <w:lvlJc w:val="left"/>
      <w:pPr>
        <w:ind w:left="720" w:hanging="360"/>
      </w:pPr>
    </w:lvl>
    <w:lvl w:ilvl="1" w:tplc="95D6A42C">
      <w:start w:val="1"/>
      <w:numFmt w:val="bullet"/>
      <w:lvlText w:val="○"/>
      <w:lvlJc w:val="left"/>
      <w:pPr>
        <w:ind w:left="1440" w:hanging="360"/>
      </w:pPr>
    </w:lvl>
    <w:lvl w:ilvl="2" w:tplc="C7E8CAC6">
      <w:start w:val="1"/>
      <w:numFmt w:val="bullet"/>
      <w:lvlText w:val="■"/>
      <w:lvlJc w:val="left"/>
      <w:pPr>
        <w:ind w:left="2160" w:hanging="360"/>
      </w:pPr>
    </w:lvl>
    <w:lvl w:ilvl="3" w:tplc="B46E549C">
      <w:start w:val="1"/>
      <w:numFmt w:val="bullet"/>
      <w:lvlText w:val="●"/>
      <w:lvlJc w:val="left"/>
      <w:pPr>
        <w:ind w:left="2880" w:hanging="360"/>
      </w:pPr>
    </w:lvl>
    <w:lvl w:ilvl="4" w:tplc="5900D94E">
      <w:start w:val="1"/>
      <w:numFmt w:val="bullet"/>
      <w:lvlText w:val="○"/>
      <w:lvlJc w:val="left"/>
      <w:pPr>
        <w:ind w:left="3600" w:hanging="360"/>
      </w:pPr>
    </w:lvl>
    <w:lvl w:ilvl="5" w:tplc="326A7080">
      <w:start w:val="1"/>
      <w:numFmt w:val="bullet"/>
      <w:lvlText w:val="■"/>
      <w:lvlJc w:val="left"/>
      <w:pPr>
        <w:ind w:left="4320" w:hanging="360"/>
      </w:pPr>
    </w:lvl>
    <w:lvl w:ilvl="6" w:tplc="7FDA60A2">
      <w:start w:val="1"/>
      <w:numFmt w:val="bullet"/>
      <w:lvlText w:val="●"/>
      <w:lvlJc w:val="left"/>
      <w:pPr>
        <w:ind w:left="5040" w:hanging="360"/>
      </w:pPr>
    </w:lvl>
    <w:lvl w:ilvl="7" w:tplc="B8C61A96">
      <w:start w:val="1"/>
      <w:numFmt w:val="bullet"/>
      <w:lvlText w:val="●"/>
      <w:lvlJc w:val="left"/>
      <w:pPr>
        <w:ind w:left="5760" w:hanging="360"/>
      </w:pPr>
    </w:lvl>
    <w:lvl w:ilvl="8" w:tplc="57BE8AA6">
      <w:start w:val="1"/>
      <w:numFmt w:val="bullet"/>
      <w:lvlText w:val="●"/>
      <w:lvlJc w:val="left"/>
      <w:pPr>
        <w:ind w:left="6480" w:hanging="360"/>
      </w:pPr>
    </w:lvl>
  </w:abstractNum>
  <w:num w:numId="1" w16cid:durableId="15849931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F4"/>
    <w:rsid w:val="00A27EF4"/>
    <w:rsid w:val="00BA1682"/>
    <w:rsid w:val="00C3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7F06"/>
  <w15:docId w15:val="{CB3A7B46-419E-4D03-97F0-15941C37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Char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1"/>
    <w:uiPriority w:val="99"/>
    <w:semiHidden/>
    <w:unhideWhenUsed/>
    <w:rPr>
      <w:sz w:val="20"/>
      <w:szCs w:val="20"/>
    </w:rPr>
  </w:style>
  <w:style w:type="character" w:customStyle="1" w:styleId="Char1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character" w:customStyle="1" w:styleId="Char">
    <w:name w:val="Τίτλος Char"/>
    <w:basedOn w:val="a0"/>
    <w:link w:val="a3"/>
    <w:uiPriority w:val="10"/>
    <w:rsid w:val="00BA1682"/>
    <w:rPr>
      <w:sz w:val="56"/>
      <w:szCs w:val="56"/>
    </w:rPr>
  </w:style>
  <w:style w:type="paragraph" w:styleId="a9">
    <w:name w:val="Subtitle"/>
    <w:basedOn w:val="a"/>
    <w:next w:val="a"/>
    <w:link w:val="Char2"/>
    <w:uiPriority w:val="11"/>
    <w:qFormat/>
    <w:rsid w:val="00BA1682"/>
    <w:pPr>
      <w:keepNext/>
      <w:numPr>
        <w:ilvl w:val="1"/>
      </w:numPr>
      <w:spacing w:after="240" w:line="269" w:lineRule="auto"/>
    </w:pPr>
    <w:rPr>
      <w:rFonts w:asciiTheme="majorHAnsi" w:eastAsiaTheme="majorEastAsia" w:hAnsiTheme="majorHAnsi" w:cstheme="majorBidi"/>
      <w:b/>
      <w:iCs/>
      <w:color w:val="000000"/>
      <w:spacing w:val="15"/>
      <w:sz w:val="30"/>
      <w:lang w:val="en-US" w:eastAsia="en-US"/>
    </w:rPr>
  </w:style>
  <w:style w:type="character" w:customStyle="1" w:styleId="Char2">
    <w:name w:val="Υπότιτλος Char"/>
    <w:basedOn w:val="a0"/>
    <w:link w:val="a9"/>
    <w:uiPriority w:val="11"/>
    <w:rsid w:val="00BA1682"/>
    <w:rPr>
      <w:rFonts w:asciiTheme="majorHAnsi" w:eastAsiaTheme="majorEastAsia" w:hAnsiTheme="majorHAnsi" w:cstheme="majorBidi"/>
      <w:b/>
      <w:iCs/>
      <w:color w:val="000000"/>
      <w:spacing w:val="15"/>
      <w:sz w:val="3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Kwnstantina Karadima</cp:lastModifiedBy>
  <cp:revision>2</cp:revision>
  <dcterms:created xsi:type="dcterms:W3CDTF">2026-10-29T07:51:00Z</dcterms:created>
  <dcterms:modified xsi:type="dcterms:W3CDTF">2026-10-29T12:19:00Z</dcterms:modified>
</cp:coreProperties>
</file>