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4F130" w14:textId="200AD2C8" w:rsidR="00675B2B" w:rsidRDefault="00AF549D" w:rsidP="00FF0CA3">
      <w:pPr>
        <w:spacing w:line="240" w:lineRule="auto"/>
        <w:contextualSpacing/>
        <w:jc w:val="center"/>
        <w:rPr>
          <w:b/>
          <w:bCs/>
        </w:rPr>
      </w:pPr>
      <w:r>
        <w:rPr>
          <w:b/>
          <w:bCs/>
        </w:rPr>
        <w:t>Ερωτήσεις πολλαπλής επιλογής για τις διαλέξεις 3 &amp; 4</w:t>
      </w:r>
    </w:p>
    <w:p w14:paraId="4D0C42CE" w14:textId="77777777" w:rsidR="00F23552" w:rsidRDefault="00F23552" w:rsidP="00FF0CA3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61FF806A" w14:textId="77777777" w:rsidR="00F23552" w:rsidRPr="00F23552" w:rsidRDefault="00F23552" w:rsidP="00FF0CA3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Η επένδυση μιας επιχείρησης περιγράφεται από το υπόδειγμα:</w:t>
      </w:r>
      <w:r>
        <w:rPr>
          <w:rFonts w:ascii="Arial" w:hAnsi="Arial" w:cs="Arial"/>
          <w:sz w:val="20"/>
          <w:szCs w:val="20"/>
          <w:u w:val="single"/>
        </w:rPr>
        <w:br/>
      </w:r>
      <w:r>
        <w:rPr>
          <w:rFonts w:ascii="Arial" w:hAnsi="Arial" w:cs="Arial"/>
          <w:sz w:val="20"/>
          <w:szCs w:val="20"/>
          <w:u w:val="single"/>
        </w:rPr>
        <w:br/>
        <w:t>INV⁺ = a + b₁·IRR + b₂·UNC + b₃·(IRR·UNC)</w:t>
      </w:r>
      <w:r>
        <w:rPr>
          <w:rFonts w:ascii="Arial" w:hAnsi="Arial" w:cs="Arial"/>
          <w:sz w:val="20"/>
          <w:szCs w:val="20"/>
          <w:u w:val="single"/>
        </w:rPr>
        <w:br/>
      </w:r>
      <w:r>
        <w:rPr>
          <w:rFonts w:ascii="Arial" w:hAnsi="Arial" w:cs="Arial"/>
          <w:sz w:val="20"/>
          <w:szCs w:val="20"/>
          <w:u w:val="single"/>
        </w:rPr>
        <w:br/>
        <w:t>με b₁ = −0,5, b₂ = −0,2, b₃ = −0,15 και IRR = 4.</w:t>
      </w:r>
      <w:r>
        <w:rPr>
          <w:rFonts w:ascii="Arial" w:hAnsi="Arial" w:cs="Arial"/>
          <w:sz w:val="20"/>
          <w:szCs w:val="20"/>
          <w:u w:val="single"/>
        </w:rPr>
        <w:br/>
        <w:t>Πόσο μεταβάλλεται η επένδυση αν η αβεβαιότητα (UNC) αυξηθεί κατά 1 μονάδα;</w:t>
      </w:r>
    </w:p>
    <w:p w14:paraId="616F3CBC" w14:textId="688731A0" w:rsidR="00F23552" w:rsidRPr="00F23552" w:rsidRDefault="00F23552" w:rsidP="00FF0CA3">
      <w:pPr>
        <w:spacing w:line="240" w:lineRule="auto"/>
        <w:ind w:left="36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α) −0,2</w:t>
      </w:r>
      <w:r>
        <w:rPr>
          <w:rFonts w:ascii="Arial" w:hAnsi="Arial" w:cs="Arial"/>
          <w:sz w:val="20"/>
          <w:szCs w:val="20"/>
        </w:rPr>
        <w:br/>
        <w:t>β) −0,35</w:t>
      </w:r>
      <w:r>
        <w:rPr>
          <w:rFonts w:ascii="Arial" w:hAnsi="Arial" w:cs="Arial"/>
          <w:b/>
          <w:sz w:val="20"/>
          <w:szCs w:val="20"/>
        </w:rPr>
        <w:br/>
        <w:t>γ) −0,8</w:t>
      </w:r>
      <w:r>
        <w:rPr>
          <w:rFonts w:ascii="Arial" w:hAnsi="Arial" w:cs="Arial"/>
          <w:sz w:val="20"/>
          <w:szCs w:val="20"/>
        </w:rPr>
        <w:br/>
        <w:t>δ) +0,4</w:t>
      </w:r>
    </w:p>
    <w:p w14:paraId="44799A24" w14:textId="77777777" w:rsidR="00F23552" w:rsidRDefault="00F23552" w:rsidP="00FF0CA3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7A517CAA" w14:textId="0B100C4E" w:rsidR="00F23552" w:rsidRPr="00F23552" w:rsidRDefault="00F23552" w:rsidP="00FF0CA3">
      <w:pPr>
        <w:spacing w:line="240" w:lineRule="auto"/>
        <w:ind w:firstLine="360"/>
        <w:contextualSpacing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>Σωστή απάντηση: γ</w:t>
      </w:r>
    </w:p>
    <w:p w14:paraId="081B3830" w14:textId="77777777" w:rsidR="00F23552" w:rsidRPr="00F23552" w:rsidRDefault="00F23552" w:rsidP="00FF0CA3">
      <w:pPr>
        <w:spacing w:line="240" w:lineRule="auto"/>
        <w:ind w:firstLine="360"/>
        <w:contextualSpacing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Εξήγηση:</w:t>
      </w:r>
    </w:p>
    <w:p w14:paraId="6C031F4A" w14:textId="47BE8C01" w:rsidR="00F23552" w:rsidRPr="00F23552" w:rsidRDefault="00F23552" w:rsidP="00FF0CA3">
      <w:pPr>
        <w:spacing w:line="240" w:lineRule="auto"/>
        <w:ind w:left="360"/>
        <w:contextualSpacing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Ψάχνουμε την επίδραση της αβεβαιότητας, άρα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παραγωγίζουμε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 ως προς UNC:</w:t>
      </w:r>
      <w:r>
        <w:rPr>
          <w:rFonts w:ascii="Arial" w:hAnsi="Arial" w:cs="Arial"/>
          <w:i/>
          <w:iCs/>
          <w:sz w:val="20"/>
          <w:szCs w:val="20"/>
        </w:rPr>
        <w:br/>
      </w:r>
      <w:r>
        <w:rPr>
          <w:rFonts w:ascii="Arial" w:hAnsi="Arial" w:cs="Arial"/>
          <w:i/>
          <w:iCs/>
          <w:sz w:val="20"/>
          <w:szCs w:val="20"/>
        </w:rPr>
        <w:br/>
        <w:t>ΔINV⁺/ΔUNC = b₂ + b₃·IRR</w:t>
      </w:r>
      <w:r>
        <w:rPr>
          <w:rFonts w:ascii="Arial" w:hAnsi="Arial" w:cs="Arial"/>
          <w:i/>
          <w:iCs/>
          <w:sz w:val="20"/>
          <w:szCs w:val="20"/>
        </w:rPr>
        <w:br/>
      </w:r>
      <w:r>
        <w:rPr>
          <w:rFonts w:ascii="Arial" w:hAnsi="Arial" w:cs="Arial"/>
          <w:i/>
          <w:iCs/>
          <w:sz w:val="20"/>
          <w:szCs w:val="20"/>
        </w:rPr>
        <w:br/>
        <w:t>Άμεση επίδραση: b₂ = −0,2</w:t>
      </w:r>
      <w:r>
        <w:rPr>
          <w:rFonts w:ascii="Arial" w:hAnsi="Arial" w:cs="Arial"/>
          <w:i/>
          <w:iCs/>
          <w:sz w:val="20"/>
          <w:szCs w:val="20"/>
        </w:rPr>
        <w:br/>
        <w:t xml:space="preserve">Έμμεση επίδραση, μέσω της μη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αναστρεψιμότητας</w:t>
      </w:r>
      <w:proofErr w:type="spellEnd"/>
      <w:r>
        <w:rPr>
          <w:rFonts w:ascii="Arial" w:hAnsi="Arial" w:cs="Arial"/>
          <w:i/>
          <w:iCs/>
          <w:sz w:val="20"/>
          <w:szCs w:val="20"/>
        </w:rPr>
        <w:t>: b₃·IRR = (−0,15)·4 = −0,6</w:t>
      </w:r>
      <w:r>
        <w:rPr>
          <w:rFonts w:ascii="Arial" w:hAnsi="Arial" w:cs="Arial"/>
          <w:i/>
          <w:iCs/>
          <w:sz w:val="20"/>
          <w:szCs w:val="20"/>
        </w:rPr>
        <w:br/>
        <w:t>Σύνολο: −0,2 + (−0,6) = −0,8</w:t>
      </w:r>
      <w:r>
        <w:rPr>
          <w:rFonts w:ascii="Arial" w:hAnsi="Arial" w:cs="Arial"/>
          <w:i/>
          <w:iCs/>
          <w:sz w:val="20"/>
          <w:szCs w:val="20"/>
        </w:rPr>
        <w:br/>
      </w:r>
      <w:r>
        <w:rPr>
          <w:rFonts w:ascii="Arial" w:hAnsi="Arial" w:cs="Arial"/>
          <w:i/>
          <w:iCs/>
          <w:sz w:val="20"/>
          <w:szCs w:val="20"/>
        </w:rPr>
        <w:br/>
        <w:t>Ερμηνεία: αν η αβεβαιότητα αυξηθεί κατά 1, η επένδυση μειώνεται κατά 0,8. Μόνο το −0,2 οφείλεται στην αβεβαιότητα καθαυτή. Τα υπόλοιπα −0,6 προέρχονται από το ότι η επένδυση είναι μη αναστρέψιμη (IRR = 4).</w:t>
      </w:r>
    </w:p>
    <w:p w14:paraId="17474C80" w14:textId="77777777" w:rsidR="00F23552" w:rsidRDefault="00F23552" w:rsidP="00FF0CA3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254E93C8" w14:textId="77777777" w:rsidR="00F23552" w:rsidRPr="00F23552" w:rsidRDefault="00F23552" w:rsidP="00FF0CA3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 xml:space="preserve">Έστω επένδυση με ορίζοντα 2 ετών με αρχικό κόστος κεφαλαίου Κ0=1000 και αναμενόμενο </w:t>
      </w:r>
      <w:proofErr w:type="spellStart"/>
      <w:r>
        <w:rPr>
          <w:rFonts w:ascii="Arial" w:hAnsi="Arial" w:cs="Arial"/>
          <w:sz w:val="20"/>
          <w:szCs w:val="20"/>
          <w:u w:val="single"/>
        </w:rPr>
        <w:t>cash</w:t>
      </w:r>
      <w:proofErr w:type="spellEnd"/>
      <w:r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u w:val="single"/>
        </w:rPr>
        <w:t>flow</w:t>
      </w:r>
      <w:proofErr w:type="spellEnd"/>
      <w:r>
        <w:rPr>
          <w:rFonts w:ascii="Arial" w:hAnsi="Arial" w:cs="Arial"/>
          <w:sz w:val="20"/>
          <w:szCs w:val="20"/>
          <w:u w:val="single"/>
        </w:rPr>
        <w:t xml:space="preserve"> 100 κατ’ έτος. Για επιτόκιο 0,1, το NPV είναι:</w:t>
      </w:r>
    </w:p>
    <w:p w14:paraId="52882BDC" w14:textId="77777777" w:rsidR="00F23552" w:rsidRPr="00F23552" w:rsidRDefault="00F23552" w:rsidP="00FF0CA3">
      <w:pPr>
        <w:spacing w:line="240" w:lineRule="auto"/>
        <w:ind w:left="36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α. 826,5</w:t>
      </w:r>
      <w:r>
        <w:rPr>
          <w:rFonts w:ascii="Arial" w:hAnsi="Arial" w:cs="Arial"/>
          <w:b/>
          <w:sz w:val="20"/>
          <w:szCs w:val="20"/>
        </w:rPr>
        <w:br/>
        <w:t>β. -826,5</w:t>
      </w:r>
      <w:r>
        <w:rPr>
          <w:rFonts w:ascii="Arial" w:hAnsi="Arial" w:cs="Arial"/>
          <w:sz w:val="20"/>
          <w:szCs w:val="20"/>
        </w:rPr>
        <w:br/>
        <w:t>γ. -1173,5</w:t>
      </w:r>
      <w:r>
        <w:rPr>
          <w:rFonts w:ascii="Arial" w:hAnsi="Arial" w:cs="Arial"/>
          <w:sz w:val="20"/>
          <w:szCs w:val="20"/>
        </w:rPr>
        <w:br/>
        <w:t>δ. 1173,5</w:t>
      </w:r>
    </w:p>
    <w:p w14:paraId="4D076658" w14:textId="77777777" w:rsidR="00F23552" w:rsidRDefault="00F23552" w:rsidP="00FF0CA3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2FEE2C7D" w14:textId="77777777" w:rsidR="00F23552" w:rsidRPr="00F23552" w:rsidRDefault="00F23552" w:rsidP="00FF0CA3">
      <w:pPr>
        <w:spacing w:line="240" w:lineRule="auto"/>
        <w:ind w:firstLine="360"/>
        <w:contextualSpacing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>Σωστή απάντηση: β</w:t>
      </w:r>
    </w:p>
    <w:p w14:paraId="5F2D8E2D" w14:textId="77777777" w:rsidR="00F23552" w:rsidRPr="00F23552" w:rsidRDefault="00F23552" w:rsidP="00FF0CA3">
      <w:pPr>
        <w:spacing w:line="240" w:lineRule="auto"/>
        <w:ind w:firstLine="360"/>
        <w:contextualSpacing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Εξήγηση:</w:t>
      </w:r>
    </w:p>
    <w:p w14:paraId="71B43B39" w14:textId="77777777" w:rsidR="00F23552" w:rsidRPr="00F23552" w:rsidRDefault="00F23552" w:rsidP="00FF0CA3">
      <w:pPr>
        <w:spacing w:line="240" w:lineRule="auto"/>
        <w:ind w:left="360"/>
        <w:contextualSpacing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NPV= -1000+(100/ (1+0.1))+(100/(1+0.1)^2)</w:t>
      </w:r>
      <w:r>
        <w:rPr>
          <w:rFonts w:ascii="Arial" w:hAnsi="Arial" w:cs="Arial"/>
          <w:i/>
          <w:iCs/>
          <w:sz w:val="20"/>
          <w:szCs w:val="20"/>
        </w:rPr>
        <w:br/>
        <w:t>NPV= -1000+90.9+82.6</w:t>
      </w:r>
      <w:r>
        <w:rPr>
          <w:rFonts w:ascii="Arial" w:hAnsi="Arial" w:cs="Arial"/>
          <w:i/>
          <w:iCs/>
          <w:sz w:val="20"/>
          <w:szCs w:val="20"/>
        </w:rPr>
        <w:br/>
        <w:t>NPV=-826.5</w:t>
      </w:r>
    </w:p>
    <w:p w14:paraId="2A50E29C" w14:textId="77777777" w:rsidR="00F23552" w:rsidRDefault="00F23552" w:rsidP="00FF0CA3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7C123989" w14:textId="77777777" w:rsidR="00F23552" w:rsidRPr="00F23552" w:rsidRDefault="00F23552" w:rsidP="00FF0CA3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Μια επιχείρηση εξετάζει την αγορά μηχανήματος 50.000 €, με διάρκεια ζωής 10 έτη και επιτόκιο 4%. Το μηχάνημα θα φέρνει επιπλέον παραγωγή αξίας 6.500 € τον χρόνο . Ποια πρόταση είναι σωστή;</w:t>
      </w:r>
    </w:p>
    <w:p w14:paraId="623625D1" w14:textId="77777777" w:rsidR="00F23552" w:rsidRPr="00F23552" w:rsidRDefault="00F23552" w:rsidP="00FF0CA3">
      <w:pPr>
        <w:spacing w:line="240" w:lineRule="auto"/>
        <w:ind w:left="36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Α) UC = 5.000 € τον χρόνο. Επενδύει, γιατί 6.500 &gt; 5.000.</w:t>
      </w:r>
      <w:r>
        <w:rPr>
          <w:rFonts w:ascii="Arial" w:hAnsi="Arial" w:cs="Arial"/>
          <w:sz w:val="20"/>
          <w:szCs w:val="20"/>
        </w:rPr>
        <w:br/>
        <w:t>Β) UC = 2.000 € τον χρόνο .Επενδύει, γιατί 6.500 &gt; 2.000.</w:t>
      </w:r>
      <w:r>
        <w:rPr>
          <w:rFonts w:ascii="Arial" w:hAnsi="Arial" w:cs="Arial"/>
          <w:b/>
          <w:sz w:val="20"/>
          <w:szCs w:val="20"/>
        </w:rPr>
        <w:br/>
        <w:t>Γ) UC = 7.000 € τον χρόνο. Δεν επενδύει, γιατί 6.500 &lt; 7.000.</w:t>
      </w:r>
      <w:r>
        <w:rPr>
          <w:rFonts w:ascii="Arial" w:hAnsi="Arial" w:cs="Arial"/>
          <w:sz w:val="20"/>
          <w:szCs w:val="20"/>
        </w:rPr>
        <w:br/>
        <w:t>Δ) UC = 52.000 € Δεν επενδύει, γιατί το κόστος ξεπερνά πολύ το ετήσιο όφελος.</w:t>
      </w:r>
    </w:p>
    <w:p w14:paraId="5255B63D" w14:textId="77777777" w:rsidR="00F23552" w:rsidRDefault="00F23552" w:rsidP="00FF0CA3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6EA90822" w14:textId="423543C0" w:rsidR="00C46EEA" w:rsidRPr="00F23552" w:rsidRDefault="00C46EEA" w:rsidP="00C46EEA">
      <w:pPr>
        <w:spacing w:line="240" w:lineRule="auto"/>
        <w:ind w:firstLine="360"/>
        <w:contextualSpacing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>Σωστή απάντηση: γ</w:t>
      </w:r>
    </w:p>
    <w:p w14:paraId="6F89F996" w14:textId="60891FAA" w:rsidR="00F23552" w:rsidRPr="00F23552" w:rsidRDefault="00F23552" w:rsidP="00FF0CA3">
      <w:pPr>
        <w:spacing w:line="240" w:lineRule="auto"/>
        <w:ind w:left="360"/>
        <w:contextualSpacing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Αιτιολόγηση Σωστής: δ = 1/N = 10%. UC = P_K·(δ + i) = 50.000 × (0,10 + 0,04) = 5.000 φθορά + 2.000 κόστος ευκαιρίας = 7.000 € τον χρόνο. Επενδύ</w:t>
      </w:r>
      <w:r w:rsidR="00C46EEA">
        <w:rPr>
          <w:rFonts w:ascii="Arial" w:hAnsi="Arial" w:cs="Arial"/>
          <w:i/>
          <w:iCs/>
          <w:sz w:val="20"/>
          <w:szCs w:val="20"/>
        </w:rPr>
        <w:t>ει</w:t>
      </w:r>
      <w:r>
        <w:rPr>
          <w:rFonts w:ascii="Arial" w:hAnsi="Arial" w:cs="Arial"/>
          <w:i/>
          <w:iCs/>
          <w:sz w:val="20"/>
          <w:szCs w:val="20"/>
        </w:rPr>
        <w:t xml:space="preserve"> μόνο αν αυτό που φέρνει το κεφάλαιο τον χρόνο ξεπερνά το κόστος χρήσης του έτους. Οπότε 6.500 &lt; 7.000, άρα δεν επενδύει</w:t>
      </w:r>
      <w:r>
        <w:rPr>
          <w:rFonts w:ascii="Arial" w:hAnsi="Arial" w:cs="Arial"/>
          <w:i/>
          <w:iCs/>
          <w:sz w:val="20"/>
          <w:szCs w:val="20"/>
        </w:rPr>
        <w:br/>
      </w:r>
      <w:r>
        <w:rPr>
          <w:rFonts w:ascii="Arial" w:hAnsi="Arial" w:cs="Arial"/>
          <w:i/>
          <w:iCs/>
          <w:sz w:val="20"/>
          <w:szCs w:val="20"/>
        </w:rPr>
        <w:lastRenderedPageBreak/>
        <w:br/>
      </w:r>
      <w:r w:rsidR="00C46EEA">
        <w:rPr>
          <w:rFonts w:ascii="Arial" w:hAnsi="Arial" w:cs="Arial"/>
          <w:i/>
          <w:iCs/>
          <w:sz w:val="20"/>
          <w:szCs w:val="20"/>
        </w:rPr>
        <w:t xml:space="preserve">Αιτιολόγηση Λάθος </w:t>
      </w:r>
      <w:proofErr w:type="spellStart"/>
      <w:r w:rsidR="00C46EEA">
        <w:rPr>
          <w:rFonts w:ascii="Arial" w:hAnsi="Arial" w:cs="Arial"/>
          <w:i/>
          <w:iCs/>
          <w:sz w:val="20"/>
          <w:szCs w:val="20"/>
        </w:rPr>
        <w:t>Απαντησεων</w:t>
      </w:r>
      <w:proofErr w:type="spellEnd"/>
      <w:r w:rsidR="00C46EEA">
        <w:rPr>
          <w:rFonts w:ascii="Arial" w:hAnsi="Arial" w:cs="Arial"/>
          <w:i/>
          <w:iCs/>
          <w:sz w:val="20"/>
          <w:szCs w:val="20"/>
        </w:rPr>
        <w:t xml:space="preserve">: </w:t>
      </w:r>
      <w:r>
        <w:rPr>
          <w:rFonts w:ascii="Arial" w:hAnsi="Arial" w:cs="Arial"/>
          <w:i/>
          <w:iCs/>
          <w:sz w:val="20"/>
          <w:szCs w:val="20"/>
        </w:rPr>
        <w:br/>
        <w:t>Α: μετρά μόνο τη φθορά (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P_K·δ</w:t>
      </w:r>
      <w:proofErr w:type="spellEnd"/>
      <w:r>
        <w:rPr>
          <w:rFonts w:ascii="Arial" w:hAnsi="Arial" w:cs="Arial"/>
          <w:i/>
          <w:iCs/>
          <w:sz w:val="20"/>
          <w:szCs w:val="20"/>
        </w:rPr>
        <w:t>) και ξεχνά το κόστος ευκαιρίας</w:t>
      </w:r>
      <w:r>
        <w:rPr>
          <w:rFonts w:ascii="Arial" w:hAnsi="Arial" w:cs="Arial"/>
          <w:i/>
          <w:iCs/>
          <w:sz w:val="20"/>
          <w:szCs w:val="20"/>
        </w:rPr>
        <w:br/>
        <w:t>Β: μετρά μόνο το κόστος ευκαιρίας (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P_K·i</w:t>
      </w:r>
      <w:proofErr w:type="spellEnd"/>
      <w:r>
        <w:rPr>
          <w:rFonts w:ascii="Arial" w:hAnsi="Arial" w:cs="Arial"/>
          <w:i/>
          <w:iCs/>
          <w:sz w:val="20"/>
          <w:szCs w:val="20"/>
        </w:rPr>
        <w:t>) και ξεχνά τη φθορά</w:t>
      </w:r>
      <w:r>
        <w:rPr>
          <w:rFonts w:ascii="Arial" w:hAnsi="Arial" w:cs="Arial"/>
          <w:i/>
          <w:iCs/>
          <w:sz w:val="20"/>
          <w:szCs w:val="20"/>
        </w:rPr>
        <w:br/>
        <w:t xml:space="preserve">Δ: συγκρίνει όλο το κόστος αγοράς με ετήσιο όφελος. Η σύγκριση πρέπει να γίνεται με τις ίδιες υποθέσεις. Στη συγκεκριμένη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περιπτωση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 στο πλαίσιο του έτους, αυτό που υποθέτει και το UC</w:t>
      </w:r>
    </w:p>
    <w:p w14:paraId="1B38F05F" w14:textId="77777777" w:rsidR="00F23552" w:rsidRDefault="00F23552" w:rsidP="00FF0CA3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726A302B" w14:textId="77777777" w:rsidR="00F23552" w:rsidRPr="00F23552" w:rsidRDefault="00F23552" w:rsidP="00FF0CA3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Πώς χρησιμοποιείται το WACC (ΜΣΚΚ) στην αξιολόγηση επενδύσεων μέσω της Καθαρής Παρούσας Αξίας (NPV);</w:t>
      </w:r>
    </w:p>
    <w:p w14:paraId="6EC6E2A5" w14:textId="77777777" w:rsidR="00F23552" w:rsidRPr="00F23552" w:rsidRDefault="00F23552" w:rsidP="00FF0CA3">
      <w:pPr>
        <w:spacing w:line="240" w:lineRule="auto"/>
        <w:ind w:left="36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Α) Χρησιμοποιείται αποκλειστικά για τον υπολογισμό των ετήσιων χρηματικών ροών (CF).</w:t>
      </w:r>
      <w:r>
        <w:rPr>
          <w:rFonts w:ascii="Arial" w:hAnsi="Arial" w:cs="Arial"/>
          <w:sz w:val="20"/>
          <w:szCs w:val="20"/>
        </w:rPr>
        <w:br/>
        <w:t>Β) Εκφράζει το ανώτατο όριο επιτοκίου που μπορεί να δανειστεί μια εταιρεία από τις τράπεζες.</w:t>
      </w:r>
      <w:r>
        <w:rPr>
          <w:rFonts w:ascii="Arial" w:hAnsi="Arial" w:cs="Arial"/>
          <w:b/>
          <w:sz w:val="20"/>
          <w:szCs w:val="20"/>
        </w:rPr>
        <w:br/>
        <w:t xml:space="preserve">Γ) Λειτουργεί ως το ελάχιστο απαιτούμενο ποσοστό απόδοσης (επιτόκιο προεξόφλησης i) που πρέπει να πετύχει η επένδυση ώστε να καλύπτει το κόστος όλων των πηγών χρηματοδότησης.  </w:t>
      </w:r>
      <w:r>
        <w:rPr>
          <w:rFonts w:ascii="Arial" w:hAnsi="Arial" w:cs="Arial"/>
          <w:sz w:val="20"/>
          <w:szCs w:val="20"/>
        </w:rPr>
        <w:br/>
        <w:t>Δ) Αντιπροσωπεύει μόνο το κόστος των ιδίων κεφαλαίων και αγνοεί τον τραπεζικό δανεισμό.</w:t>
      </w:r>
    </w:p>
    <w:p w14:paraId="5EF1CC0D" w14:textId="77777777" w:rsidR="00F23552" w:rsidRDefault="00F23552" w:rsidP="00FF0CA3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7D2DEF27" w14:textId="77777777" w:rsidR="00F23552" w:rsidRPr="00F23552" w:rsidRDefault="00F23552" w:rsidP="00FF0CA3">
      <w:pPr>
        <w:spacing w:line="240" w:lineRule="auto"/>
        <w:ind w:firstLine="360"/>
        <w:contextualSpacing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>Σωστή απάντηση: Γ</w:t>
      </w:r>
    </w:p>
    <w:p w14:paraId="663CA29A" w14:textId="77777777" w:rsidR="00F23552" w:rsidRPr="00F23552" w:rsidRDefault="00F23552" w:rsidP="00FF0CA3">
      <w:pPr>
        <w:spacing w:line="240" w:lineRule="auto"/>
        <w:ind w:firstLine="360"/>
        <w:contextualSpacing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Εξήγηση:</w:t>
      </w:r>
    </w:p>
    <w:p w14:paraId="3F36DC77" w14:textId="77777777" w:rsidR="00F23552" w:rsidRPr="00F23552" w:rsidRDefault="00F23552" w:rsidP="00FF0CA3">
      <w:pPr>
        <w:spacing w:line="240" w:lineRule="auto"/>
        <w:ind w:left="360"/>
        <w:contextualSpacing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Αιτιολογία: Το WACC σταθμίζει όλες τις πηγές χρηματοδότησης (δάνεια, ομόλογα, ίδια κεφάλαια) και αντικαθιστά το i στον τύπο του NPV ως το ελάχιστο αποδεκτό όριο απόδοσης.</w:t>
      </w:r>
    </w:p>
    <w:p w14:paraId="36B49800" w14:textId="77777777" w:rsidR="00F23552" w:rsidRDefault="00F23552" w:rsidP="00FF0CA3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4937F883" w14:textId="05ACDBDD" w:rsidR="00F23552" w:rsidRPr="00F23552" w:rsidRDefault="00F23552" w:rsidP="00FF0CA3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 xml:space="preserve">Μια επιχείρηση εξετάζει επένδυση με αρχικό κόστος </w:t>
      </w:r>
      <w:r w:rsidR="00A32BF9">
        <w:rPr>
          <w:rFonts w:ascii="Arial" w:hAnsi="Arial" w:cs="Arial"/>
          <w:sz w:val="20"/>
          <w:szCs w:val="20"/>
          <w:u w:val="single"/>
        </w:rPr>
        <w:t>Κ</w:t>
      </w:r>
      <w:r>
        <w:rPr>
          <w:rFonts w:ascii="Arial" w:hAnsi="Arial" w:cs="Arial"/>
          <w:sz w:val="20"/>
          <w:szCs w:val="20"/>
          <w:u w:val="single"/>
        </w:rPr>
        <w:t xml:space="preserve">₀ = 1.000 €, ταμειακές ροές CF₁ = 660 € και CF₂ = 605 €, και επιτόκιο προεξόφλησης </w:t>
      </w:r>
      <w:proofErr w:type="spellStart"/>
      <w:r w:rsidR="00A32BF9">
        <w:rPr>
          <w:rFonts w:ascii="Arial" w:hAnsi="Arial" w:cs="Arial"/>
          <w:sz w:val="20"/>
          <w:szCs w:val="20"/>
          <w:u w:val="single"/>
          <w:lang w:val="en-US"/>
        </w:rPr>
        <w:t>i</w:t>
      </w:r>
      <w:proofErr w:type="spellEnd"/>
      <w:r>
        <w:rPr>
          <w:rFonts w:ascii="Arial" w:hAnsi="Arial" w:cs="Arial"/>
          <w:sz w:val="20"/>
          <w:szCs w:val="20"/>
          <w:u w:val="single"/>
        </w:rPr>
        <w:t xml:space="preserve"> = 10%. Η επένδυση είναι πλήρως μη αναστρέψιμη και το ασφάλιστρο μη </w:t>
      </w:r>
      <w:proofErr w:type="spellStart"/>
      <w:r>
        <w:rPr>
          <w:rFonts w:ascii="Arial" w:hAnsi="Arial" w:cs="Arial"/>
          <w:sz w:val="20"/>
          <w:szCs w:val="20"/>
          <w:u w:val="single"/>
        </w:rPr>
        <w:t>αναστρεψιμότητας</w:t>
      </w:r>
      <w:proofErr w:type="spellEnd"/>
      <w:r>
        <w:rPr>
          <w:rFonts w:ascii="Arial" w:hAnsi="Arial" w:cs="Arial"/>
          <w:sz w:val="20"/>
          <w:szCs w:val="20"/>
          <w:u w:val="single"/>
        </w:rPr>
        <w:t xml:space="preserve"> εκτιμάται σε IRP = 150 €. Ποια είναι η NPV και ποια η σωστή απόφαση;</w:t>
      </w:r>
    </w:p>
    <w:p w14:paraId="0345A27E" w14:textId="77777777" w:rsidR="00F23552" w:rsidRPr="00F23552" w:rsidRDefault="00F23552" w:rsidP="00FF0CA3">
      <w:pPr>
        <w:spacing w:line="240" w:lineRule="auto"/>
        <w:ind w:left="36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Α) NPV = 265 €, η επιχείρηση επενδύει γιατί NPV &gt; IRP</w:t>
      </w:r>
      <w:r>
        <w:rPr>
          <w:rFonts w:ascii="Arial" w:hAnsi="Arial" w:cs="Arial"/>
          <w:sz w:val="20"/>
          <w:szCs w:val="20"/>
        </w:rPr>
        <w:br/>
        <w:t>Β) NPV ≈ 45 €, η επιχείρηση αναβάλλει γιατί NPV &lt; IRP</w:t>
      </w:r>
      <w:r>
        <w:rPr>
          <w:rFonts w:ascii="Arial" w:hAnsi="Arial" w:cs="Arial"/>
          <w:sz w:val="20"/>
          <w:szCs w:val="20"/>
        </w:rPr>
        <w:br/>
        <w:t>Γ) NPV = 100 €, η επιχείρηση επενδύει γιατί NPV &gt; 0</w:t>
      </w:r>
      <w:r>
        <w:rPr>
          <w:rFonts w:ascii="Arial" w:hAnsi="Arial" w:cs="Arial"/>
          <w:b/>
          <w:sz w:val="20"/>
          <w:szCs w:val="20"/>
        </w:rPr>
        <w:br/>
        <w:t>Δ) NPV = 100 €, η επιχείρηση αναβάλλει γιατί NPV &lt; IRP</w:t>
      </w:r>
    </w:p>
    <w:p w14:paraId="21777AA4" w14:textId="77777777" w:rsidR="00F23552" w:rsidRDefault="00F23552" w:rsidP="00FF0CA3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7FA8A843" w14:textId="77777777" w:rsidR="00F23552" w:rsidRPr="00F23552" w:rsidRDefault="00F23552" w:rsidP="00FF0CA3">
      <w:pPr>
        <w:spacing w:line="240" w:lineRule="auto"/>
        <w:ind w:firstLine="360"/>
        <w:contextualSpacing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>Σωστή απάντηση: Δ</w:t>
      </w:r>
    </w:p>
    <w:p w14:paraId="044C1C83" w14:textId="77777777" w:rsidR="00F23552" w:rsidRPr="00F23552" w:rsidRDefault="00F23552" w:rsidP="00FF0CA3">
      <w:pPr>
        <w:spacing w:line="240" w:lineRule="auto"/>
        <w:ind w:firstLine="360"/>
        <w:contextualSpacing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Εξήγηση:</w:t>
      </w:r>
    </w:p>
    <w:p w14:paraId="76EE7EF7" w14:textId="77777777" w:rsidR="00F23552" w:rsidRPr="00F23552" w:rsidRDefault="00F23552" w:rsidP="00FF0CA3">
      <w:pPr>
        <w:spacing w:line="240" w:lineRule="auto"/>
        <w:ind w:left="360"/>
        <w:contextualSpacing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Υπολογισμός: 660 / 1,1 = 600 και 605 / 1,1² = 605 / 1,21 = 500. Άρα NPV = 600 + 500 − 1.000 = 100 €. Επειδή η επένδυση είναι πλήρως μη αναστρέψιμη, το κριτήριο δεν είναι NPV &gt; 0 αλλά NPV &gt; IRP. Εδώ 100 &lt; 150, οπότε η επιχείρηση αναβάλλει.</w:t>
      </w:r>
    </w:p>
    <w:sectPr w:rsidR="00F23552" w:rsidRPr="00F23552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5A62C" w14:textId="77777777" w:rsidR="00386029" w:rsidRDefault="00386029" w:rsidP="00F23552">
      <w:pPr>
        <w:spacing w:after="0" w:line="240" w:lineRule="auto"/>
      </w:pPr>
      <w:r>
        <w:separator/>
      </w:r>
    </w:p>
  </w:endnote>
  <w:endnote w:type="continuationSeparator" w:id="0">
    <w:p w14:paraId="783E9419" w14:textId="77777777" w:rsidR="00386029" w:rsidRDefault="00386029" w:rsidP="00F23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9498228"/>
      <w:docPartObj>
        <w:docPartGallery w:val="Page Numbers (Bottom of Page)"/>
        <w:docPartUnique/>
      </w:docPartObj>
    </w:sdtPr>
    <w:sdtContent>
      <w:p w14:paraId="158C637A" w14:textId="7AAEFCE9" w:rsidR="00F23552" w:rsidRDefault="00F2355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D4E3A9" w14:textId="77777777" w:rsidR="00F23552" w:rsidRDefault="00F235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4B00B" w14:textId="77777777" w:rsidR="00386029" w:rsidRDefault="00386029" w:rsidP="00F23552">
      <w:pPr>
        <w:spacing w:after="0" w:line="240" w:lineRule="auto"/>
      </w:pPr>
      <w:r>
        <w:separator/>
      </w:r>
    </w:p>
  </w:footnote>
  <w:footnote w:type="continuationSeparator" w:id="0">
    <w:p w14:paraId="65805ABC" w14:textId="77777777" w:rsidR="00386029" w:rsidRDefault="00386029" w:rsidP="00F23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0"/>
      <w:gridCol w:w="6316"/>
    </w:tblGrid>
    <w:tr w:rsidR="00F23552" w14:paraId="17F58ED6" w14:textId="77777777" w:rsidTr="00F23552">
      <w:tc>
        <w:tcPr>
          <w:tcW w:w="1980" w:type="dxa"/>
        </w:tcPr>
        <w:p w14:paraId="221DBC91" w14:textId="1F4CE28E" w:rsidR="00F23552" w:rsidRDefault="00F23552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639C1BCE" wp14:editId="55EDBC32">
                <wp:simplePos x="0" y="0"/>
                <wp:positionH relativeFrom="column">
                  <wp:posOffset>102870</wp:posOffset>
                </wp:positionH>
                <wp:positionV relativeFrom="paragraph">
                  <wp:posOffset>342900</wp:posOffset>
                </wp:positionV>
                <wp:extent cx="1085850" cy="405384"/>
                <wp:effectExtent l="0" t="0" r="0" b="0"/>
                <wp:wrapTight wrapText="bothSides">
                  <wp:wrapPolygon edited="0">
                    <wp:start x="0" y="0"/>
                    <wp:lineTo x="0" y="20313"/>
                    <wp:lineTo x="21221" y="20313"/>
                    <wp:lineTo x="21221" y="0"/>
                    <wp:lineTo x="0" y="0"/>
                  </wp:wrapPolygon>
                </wp:wrapTight>
                <wp:docPr id="2039071317" name="Εικόνα 1" descr="Εικόνα που περιέχει κείμενο, γραμματοσειρά, γραφικά, γραφιστική&#10;&#10;Περιγραφή που δημιουργήθηκε αυτόματ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9071317" name="Εικόνα 1" descr="Εικόνα που περιέχει κείμενο, γραμματοσειρά, γραφικά, γραφιστική&#10;&#10;Περιγραφή που δημιουργήθηκε αυτόματα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4053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16" w:type="dxa"/>
          <w:vAlign w:val="bottom"/>
        </w:tcPr>
        <w:p w14:paraId="69D7D439" w14:textId="5FE91501" w:rsidR="00F23552" w:rsidRPr="00F23552" w:rsidRDefault="00F23552">
          <w:pPr>
            <w:pStyle w:val="Header"/>
            <w:rPr>
              <w:i/>
              <w:iCs/>
            </w:rPr>
          </w:pPr>
          <w:r w:rsidRPr="00F23552">
            <w:rPr>
              <w:i/>
              <w:iCs/>
            </w:rPr>
            <w:t>Οικονομικά για στελέχη επιχειρήσεων</w:t>
          </w:r>
        </w:p>
      </w:tc>
    </w:tr>
  </w:tbl>
  <w:p w14:paraId="65D6A035" w14:textId="77777777" w:rsidR="00F23552" w:rsidRDefault="00F235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81CE1"/>
    <w:multiLevelType w:val="hybridMultilevel"/>
    <w:tmpl w:val="32EAA9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4614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462"/>
    <w:rsid w:val="00084AE2"/>
    <w:rsid w:val="00386029"/>
    <w:rsid w:val="00622C7F"/>
    <w:rsid w:val="00675B2B"/>
    <w:rsid w:val="006B75F1"/>
    <w:rsid w:val="00841C23"/>
    <w:rsid w:val="0087490E"/>
    <w:rsid w:val="009C2BD0"/>
    <w:rsid w:val="00A32BF9"/>
    <w:rsid w:val="00AF549D"/>
    <w:rsid w:val="00B34E2D"/>
    <w:rsid w:val="00C46EEA"/>
    <w:rsid w:val="00DE5CF4"/>
    <w:rsid w:val="00E52462"/>
    <w:rsid w:val="00F23552"/>
    <w:rsid w:val="00FF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691597"/>
  <w15:chartTrackingRefBased/>
  <w15:docId w15:val="{179DAA0C-EA5A-4A7A-B117-B39FBE26C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4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4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4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4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4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4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4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4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4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4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4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4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4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4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4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4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46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235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552"/>
  </w:style>
  <w:style w:type="paragraph" w:styleId="Footer">
    <w:name w:val="footer"/>
    <w:basedOn w:val="Normal"/>
    <w:link w:val="FooterChar"/>
    <w:uiPriority w:val="99"/>
    <w:unhideWhenUsed/>
    <w:rsid w:val="00F235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552"/>
  </w:style>
  <w:style w:type="table" w:styleId="TableGrid">
    <w:name w:val="Table Grid"/>
    <w:basedOn w:val="TableNormal"/>
    <w:uiPriority w:val="39"/>
    <w:rsid w:val="00F23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THEODOROS KASIMIS</dc:creator>
  <cp:keywords/>
  <dc:description/>
  <cp:lastModifiedBy>Koumousidou Moscha</cp:lastModifiedBy>
  <cp:revision>7</cp:revision>
  <dcterms:created xsi:type="dcterms:W3CDTF">2026-10-15T09:07:00Z</dcterms:created>
  <dcterms:modified xsi:type="dcterms:W3CDTF">2026-10-29T10:55:00Z</dcterms:modified>
</cp:coreProperties>
</file>