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B7E8F" w14:textId="77777777" w:rsidR="00AA0466" w:rsidRPr="0063019C" w:rsidRDefault="00AA0466" w:rsidP="00975316">
      <w:pPr>
        <w:pStyle w:val="Heading1"/>
        <w:rPr>
          <w:lang w:val="en-US"/>
        </w:rPr>
      </w:pPr>
      <w:r w:rsidRPr="0063019C">
        <w:rPr>
          <w:lang w:val="en-US"/>
        </w:rPr>
        <w:t xml:space="preserve">Revenue </w:t>
      </w:r>
    </w:p>
    <w:p w14:paraId="77530CE3" w14:textId="77777777" w:rsidR="00AA0466" w:rsidRPr="0063019C" w:rsidRDefault="0063019C" w:rsidP="00EA0B63">
      <w:pPr>
        <w:pStyle w:val="Heading2"/>
        <w:rPr>
          <w:lang w:val="en-US"/>
        </w:rPr>
      </w:pPr>
      <w:r>
        <w:rPr>
          <w:lang w:val="en-US"/>
        </w:rPr>
        <w:t>O</w:t>
      </w:r>
      <w:r w:rsidR="00AA0466" w:rsidRPr="0063019C">
        <w:rPr>
          <w:lang w:val="en-US"/>
        </w:rPr>
        <w:t>n par with Q2 last year at USD 9.6bn (USD 9.6bn) with an increase of USD 198m in Ocean and USD 110m in Terminals &amp; Towage, partly offset by revenue decrease in Manufacturing &amp; Others mainly due to the exit from the dry container business and 30% lower revenue in the reefer segment as well as the divestment of bulk activities originally acquired from Hamburg Süd.</w:t>
      </w:r>
    </w:p>
    <w:p w14:paraId="4822519B" w14:textId="77777777" w:rsidR="00AA0466" w:rsidRPr="0063019C" w:rsidRDefault="00AA0466" w:rsidP="00975316">
      <w:pPr>
        <w:pStyle w:val="Heading1"/>
        <w:rPr>
          <w:lang w:val="en-US"/>
        </w:rPr>
      </w:pPr>
      <w:r w:rsidRPr="0063019C">
        <w:rPr>
          <w:lang w:val="en-US"/>
        </w:rPr>
        <w:t xml:space="preserve">EBITDA </w:t>
      </w:r>
    </w:p>
    <w:p w14:paraId="67A18BEF" w14:textId="77777777" w:rsidR="00AA0466" w:rsidRPr="0063019C" w:rsidRDefault="00AA0466" w:rsidP="00EA0B63">
      <w:pPr>
        <w:pStyle w:val="Heading2"/>
        <w:rPr>
          <w:lang w:val="en-US"/>
        </w:rPr>
      </w:pPr>
      <w:r w:rsidRPr="0063019C">
        <w:rPr>
          <w:lang w:val="en-US"/>
        </w:rPr>
        <w:t>increased by 17% to USD 1.4bn (USD 1.2bn) primarily due to an increase in Ocean of USD 212m driven by higher freight rates and volumes as well as strong operational efficiency.</w:t>
      </w:r>
    </w:p>
    <w:p w14:paraId="3B824DDB" w14:textId="77777777" w:rsidR="00AA0466" w:rsidRPr="0063019C" w:rsidRDefault="00AA0466" w:rsidP="00EA0B63">
      <w:pPr>
        <w:pStyle w:val="Heading2"/>
        <w:rPr>
          <w:lang w:val="en-US"/>
        </w:rPr>
      </w:pPr>
      <w:r w:rsidRPr="0063019C">
        <w:rPr>
          <w:lang w:val="en-US"/>
        </w:rPr>
        <w:t>The impact on EBITDA from development in foreign exchange rates was insignificant. EBIT was USD 416m (USD 65m), positively impacted by improved EBITDA, while Q2 2018 was negatively impacted by write-down of assets in Maersk Container Industry.</w:t>
      </w:r>
    </w:p>
    <w:p w14:paraId="1D9D3AD1" w14:textId="77777777" w:rsidR="00791206" w:rsidRPr="00791206" w:rsidRDefault="00791206" w:rsidP="0063019C">
      <w:pPr>
        <w:rPr>
          <w:rStyle w:val="Heading1Char"/>
          <w:lang w:val="en-US"/>
        </w:rPr>
      </w:pPr>
    </w:p>
    <w:p w14:paraId="10F191F8" w14:textId="215A3B2F" w:rsidR="00AA0466" w:rsidRPr="0063019C" w:rsidRDefault="00AA0466" w:rsidP="00791206">
      <w:pPr>
        <w:pStyle w:val="Heading1"/>
        <w:rPr>
          <w:lang w:val="en-US"/>
        </w:rPr>
      </w:pPr>
      <w:r w:rsidRPr="00791206">
        <w:rPr>
          <w:lang w:val="en-US"/>
        </w:rPr>
        <w:t>Financial</w:t>
      </w:r>
      <w:r w:rsidRPr="0063019C">
        <w:rPr>
          <w:lang w:val="en-US"/>
        </w:rPr>
        <w:t xml:space="preserve"> </w:t>
      </w:r>
      <w:r w:rsidRPr="00791206">
        <w:rPr>
          <w:lang w:val="en-US"/>
        </w:rPr>
        <w:t>expenses</w:t>
      </w:r>
    </w:p>
    <w:p w14:paraId="1E798E8B" w14:textId="77777777" w:rsidR="00F677F5" w:rsidRPr="0063019C" w:rsidRDefault="00AA0466" w:rsidP="00EA0B63">
      <w:pPr>
        <w:pStyle w:val="Heading2"/>
        <w:rPr>
          <w:lang w:val="en-US"/>
        </w:rPr>
      </w:pPr>
      <w:r w:rsidRPr="0063019C">
        <w:rPr>
          <w:lang w:val="en-US"/>
        </w:rPr>
        <w:t>net was USD 170m (USD 154m) positively impacted by the reduced interest expenses from lower debt in 2019 which was more than offset by dividends from Total S.A. of USD 0m (USD 72m), which reduced net financial expenses.</w:t>
      </w:r>
      <w:r w:rsidR="00E64D3F" w:rsidRPr="0063019C">
        <w:rPr>
          <w:lang w:val="en-US"/>
        </w:rPr>
        <w:t xml:space="preserve"> </w:t>
      </w:r>
      <w:r w:rsidRPr="0063019C">
        <w:rPr>
          <w:lang w:val="en-US"/>
        </w:rPr>
        <w:t>The underlying profit for continuing operations</w:t>
      </w:r>
      <w:r w:rsidR="00E64D3F" w:rsidRPr="0063019C">
        <w:rPr>
          <w:lang w:val="en-US"/>
        </w:rPr>
        <w:t xml:space="preserve"> </w:t>
      </w:r>
      <w:r w:rsidRPr="0063019C">
        <w:rPr>
          <w:lang w:val="en-US"/>
        </w:rPr>
        <w:t>after financial items and tax was USD 134m</w:t>
      </w:r>
      <w:r w:rsidR="00E64D3F" w:rsidRPr="0063019C">
        <w:rPr>
          <w:lang w:val="en-US"/>
        </w:rPr>
        <w:t xml:space="preserve"> </w:t>
      </w:r>
      <w:r w:rsidRPr="0063019C">
        <w:rPr>
          <w:lang w:val="en-US"/>
        </w:rPr>
        <w:t>(USD 15m)</w:t>
      </w:r>
      <w:r w:rsidR="00E64D3F" w:rsidRPr="0063019C">
        <w:rPr>
          <w:lang w:val="en-US"/>
        </w:rPr>
        <w:t>.</w:t>
      </w:r>
    </w:p>
    <w:sectPr w:rsidR="00F677F5" w:rsidRPr="006301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466"/>
    <w:rsid w:val="004739FB"/>
    <w:rsid w:val="0063019C"/>
    <w:rsid w:val="00791206"/>
    <w:rsid w:val="00975316"/>
    <w:rsid w:val="00A347D8"/>
    <w:rsid w:val="00AA0466"/>
    <w:rsid w:val="00E64D3F"/>
    <w:rsid w:val="00EA0B63"/>
    <w:rsid w:val="00F67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20FB7"/>
  <w15:chartTrackingRefBased/>
  <w15:docId w15:val="{B62DA497-05B6-4893-9686-FFCC13EF5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l-GR"/>
    </w:rPr>
  </w:style>
  <w:style w:type="paragraph" w:styleId="Heading1">
    <w:name w:val="heading 1"/>
    <w:basedOn w:val="Normal"/>
    <w:next w:val="Normal"/>
    <w:link w:val="Heading1Char"/>
    <w:uiPriority w:val="9"/>
    <w:qFormat/>
    <w:rsid w:val="00AA04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64D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347D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466"/>
    <w:rPr>
      <w:rFonts w:asciiTheme="majorHAnsi" w:eastAsiaTheme="majorEastAsia" w:hAnsiTheme="majorHAnsi" w:cstheme="majorBidi"/>
      <w:color w:val="2E74B5" w:themeColor="accent1" w:themeShade="BF"/>
      <w:sz w:val="32"/>
      <w:szCs w:val="32"/>
      <w:lang w:val="el-GR"/>
    </w:rPr>
  </w:style>
  <w:style w:type="character" w:customStyle="1" w:styleId="Heading2Char">
    <w:name w:val="Heading 2 Char"/>
    <w:basedOn w:val="DefaultParagraphFont"/>
    <w:link w:val="Heading2"/>
    <w:uiPriority w:val="9"/>
    <w:rsid w:val="00E64D3F"/>
    <w:rPr>
      <w:rFonts w:asciiTheme="majorHAnsi" w:eastAsiaTheme="majorEastAsia" w:hAnsiTheme="majorHAnsi" w:cstheme="majorBidi"/>
      <w:color w:val="2E74B5" w:themeColor="accent1" w:themeShade="BF"/>
      <w:sz w:val="26"/>
      <w:szCs w:val="26"/>
      <w:lang w:val="el-GR"/>
    </w:rPr>
  </w:style>
  <w:style w:type="character" w:customStyle="1" w:styleId="Heading3Char">
    <w:name w:val="Heading 3 Char"/>
    <w:basedOn w:val="DefaultParagraphFont"/>
    <w:link w:val="Heading3"/>
    <w:uiPriority w:val="9"/>
    <w:semiHidden/>
    <w:rsid w:val="00A347D8"/>
    <w:rPr>
      <w:rFonts w:asciiTheme="majorHAnsi" w:eastAsiaTheme="majorEastAsia" w:hAnsiTheme="majorHAnsi" w:cstheme="majorBidi"/>
      <w:color w:val="1F4D78" w:themeColor="accent1" w:themeShade="7F"/>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7DF2E18-5233-42D2-A15C-9D8995CA3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171</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AUEB ISFM Lab</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Moysiadou</dc:creator>
  <cp:keywords/>
  <dc:description/>
  <cp:lastModifiedBy>Stella M</cp:lastModifiedBy>
  <cp:revision>6</cp:revision>
  <dcterms:created xsi:type="dcterms:W3CDTF">2019-10-28T12:19:00Z</dcterms:created>
  <dcterms:modified xsi:type="dcterms:W3CDTF">2021-11-10T13:28:00Z</dcterms:modified>
</cp:coreProperties>
</file>