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DFF" w:rsidRPr="00970DFF" w:rsidRDefault="00970DFF" w:rsidP="00970DFF">
      <w:pPr>
        <w:ind w:left="360"/>
        <w:rPr>
          <w:rFonts w:eastAsia="+mn-ea" w:cs="+mn-cs"/>
          <w:color w:val="000000"/>
          <w:kern w:val="24"/>
          <w:sz w:val="28"/>
          <w:szCs w:val="28"/>
          <w:u w:val="single"/>
        </w:rPr>
      </w:pPr>
      <w:r w:rsidRPr="00970DFF">
        <w:rPr>
          <w:rFonts w:eastAsia="+mn-ea" w:cs="+mn-cs"/>
          <w:color w:val="000000"/>
          <w:kern w:val="24"/>
          <w:sz w:val="28"/>
          <w:szCs w:val="28"/>
          <w:u w:val="single"/>
        </w:rPr>
        <w:t>Highlights</w:t>
      </w:r>
    </w:p>
    <w:p w:rsidR="00970DFF" w:rsidRPr="00970DFF" w:rsidRDefault="00970DFF" w:rsidP="00970DFF">
      <w:pPr>
        <w:ind w:left="360"/>
        <w:rPr>
          <w:color w:val="2DA2BF"/>
          <w:sz w:val="19"/>
        </w:rPr>
      </w:pPr>
      <w:r w:rsidRPr="00970DFF">
        <w:rPr>
          <w:rFonts w:eastAsia="+mn-ea" w:cs="+mn-cs"/>
          <w:color w:val="000000"/>
          <w:kern w:val="24"/>
          <w:sz w:val="28"/>
          <w:szCs w:val="28"/>
        </w:rPr>
        <w:t>Founded in 1928</w:t>
      </w:r>
    </w:p>
    <w:p w:rsidR="00970DFF" w:rsidRPr="00970DFF" w:rsidRDefault="00970DFF" w:rsidP="00970DFF">
      <w:pPr>
        <w:ind w:left="360"/>
        <w:rPr>
          <w:color w:val="2DA2BF"/>
          <w:sz w:val="19"/>
        </w:rPr>
      </w:pPr>
      <w:r w:rsidRPr="00970DFF">
        <w:rPr>
          <w:rFonts w:eastAsia="+mn-ea" w:cs="+mn-cs"/>
          <w:color w:val="000000"/>
          <w:kern w:val="24"/>
          <w:sz w:val="28"/>
          <w:szCs w:val="28"/>
        </w:rPr>
        <w:t>Corporate office in Copenhagen, Denmark</w:t>
      </w:r>
    </w:p>
    <w:p w:rsidR="00970DFF" w:rsidRPr="00970DFF" w:rsidRDefault="00970DFF" w:rsidP="00970DFF">
      <w:pPr>
        <w:ind w:left="360"/>
        <w:rPr>
          <w:color w:val="2DA2BF"/>
          <w:sz w:val="19"/>
        </w:rPr>
      </w:pPr>
      <w:r w:rsidRPr="00970DFF">
        <w:rPr>
          <w:rFonts w:eastAsia="+mn-ea" w:cs="+mn-cs"/>
          <w:color w:val="000000"/>
          <w:kern w:val="24"/>
          <w:sz w:val="28"/>
          <w:szCs w:val="28"/>
        </w:rPr>
        <w:t>611 vessels with a capacity of 3.1million TEU (Twenty-Foot Equivalent Unit)</w:t>
      </w:r>
    </w:p>
    <w:p w:rsidR="00970DFF" w:rsidRPr="00970DFF" w:rsidRDefault="00970DFF" w:rsidP="00970DFF">
      <w:pPr>
        <w:ind w:left="360"/>
        <w:rPr>
          <w:color w:val="2DA2BF"/>
          <w:sz w:val="19"/>
        </w:rPr>
      </w:pPr>
      <w:r w:rsidRPr="00970DFF">
        <w:rPr>
          <w:rFonts w:eastAsia="+mn-ea" w:cs="+mn-cs"/>
          <w:color w:val="000000"/>
          <w:kern w:val="24"/>
          <w:sz w:val="28"/>
          <w:szCs w:val="28"/>
        </w:rPr>
        <w:t>59,000 customers worldwide</w:t>
      </w:r>
    </w:p>
    <w:p w:rsidR="00970DFF" w:rsidRPr="00970DFF" w:rsidRDefault="00970DFF" w:rsidP="00970DFF">
      <w:pPr>
        <w:ind w:left="360"/>
        <w:rPr>
          <w:color w:val="2DA2BF"/>
          <w:sz w:val="19"/>
        </w:rPr>
      </w:pPr>
      <w:r w:rsidRPr="00970DFF">
        <w:rPr>
          <w:rFonts w:eastAsia="+mn-ea" w:cs="+mn-cs"/>
          <w:color w:val="000000"/>
          <w:kern w:val="24"/>
          <w:sz w:val="28"/>
          <w:szCs w:val="28"/>
        </w:rPr>
        <w:t>Approximately 12 million full containers ship</w:t>
      </w:r>
      <w:bookmarkStart w:id="0" w:name="_GoBack"/>
      <w:bookmarkEnd w:id="0"/>
      <w:r w:rsidRPr="00970DFF">
        <w:rPr>
          <w:rFonts w:eastAsia="+mn-ea" w:cs="+mn-cs"/>
          <w:color w:val="000000"/>
          <w:kern w:val="24"/>
          <w:sz w:val="28"/>
          <w:szCs w:val="28"/>
        </w:rPr>
        <w:t>ped (2015)</w:t>
      </w:r>
    </w:p>
    <w:p w:rsidR="00970DFF" w:rsidRPr="00970DFF" w:rsidRDefault="00970DFF" w:rsidP="00970DFF">
      <w:pPr>
        <w:ind w:left="360"/>
        <w:rPr>
          <w:color w:val="2DA2BF"/>
          <w:sz w:val="19"/>
        </w:rPr>
      </w:pPr>
      <w:r w:rsidRPr="00970DFF">
        <w:rPr>
          <w:rFonts w:eastAsia="+mn-ea" w:cs="+mn-cs"/>
          <w:color w:val="000000"/>
          <w:kern w:val="24"/>
          <w:sz w:val="28"/>
          <w:szCs w:val="28"/>
        </w:rPr>
        <w:t>Cover ports in almost every country in the world</w:t>
      </w:r>
    </w:p>
    <w:p w:rsidR="00970DFF" w:rsidRPr="00970DFF" w:rsidRDefault="00970DFF" w:rsidP="00970DFF">
      <w:pPr>
        <w:ind w:left="360"/>
        <w:rPr>
          <w:color w:val="2DA2BF"/>
          <w:sz w:val="19"/>
        </w:rPr>
      </w:pPr>
      <w:r w:rsidRPr="00970DFF">
        <w:rPr>
          <w:rFonts w:eastAsia="+mn-ea" w:cs="+mn-cs"/>
          <w:color w:val="000000"/>
          <w:kern w:val="24"/>
          <w:sz w:val="28"/>
          <w:szCs w:val="28"/>
        </w:rPr>
        <w:t>46,000 port calls in 343 ports in 121 countries</w:t>
      </w:r>
    </w:p>
    <w:p w:rsidR="00970DFF" w:rsidRPr="00970DFF" w:rsidRDefault="00970DFF" w:rsidP="00970DFF">
      <w:pPr>
        <w:ind w:left="360"/>
        <w:rPr>
          <w:color w:val="2DA2BF"/>
          <w:sz w:val="19"/>
        </w:rPr>
      </w:pPr>
      <w:r w:rsidRPr="00970DFF">
        <w:rPr>
          <w:rFonts w:eastAsia="+mn-ea" w:cs="+mn-cs"/>
          <w:color w:val="000000"/>
          <w:kern w:val="24"/>
          <w:sz w:val="28"/>
          <w:szCs w:val="28"/>
        </w:rPr>
        <w:t>Offer multiple weekly sailings on all our major trades</w:t>
      </w:r>
    </w:p>
    <w:p w:rsidR="00970DFF" w:rsidRPr="00970DFF" w:rsidRDefault="00970DFF" w:rsidP="00970DFF">
      <w:pPr>
        <w:ind w:left="360"/>
        <w:rPr>
          <w:color w:val="2DA2BF"/>
          <w:sz w:val="19"/>
        </w:rPr>
      </w:pPr>
      <w:r w:rsidRPr="00970DFF">
        <w:rPr>
          <w:rFonts w:eastAsia="+mn-ea" w:cs="+mn-cs"/>
          <w:color w:val="000000"/>
          <w:kern w:val="24"/>
          <w:sz w:val="28"/>
          <w:szCs w:val="28"/>
        </w:rPr>
        <w:t>Strategy: Self-funded, EBIT 5%-points &gt; peers and grow at least with the market</w:t>
      </w:r>
    </w:p>
    <w:p w:rsidR="00B00D9B" w:rsidRDefault="00B00D9B">
      <w:r>
        <w:br w:type="page"/>
      </w:r>
    </w:p>
    <w:p w:rsidR="002D35CC" w:rsidRPr="002D35CC" w:rsidRDefault="002D35CC" w:rsidP="002D35CC">
      <w:pPr>
        <w:ind w:left="360"/>
        <w:rPr>
          <w:rFonts w:eastAsia="+mn-ea" w:cs="+mn-cs"/>
          <w:color w:val="000000"/>
          <w:kern w:val="24"/>
          <w:sz w:val="28"/>
          <w:szCs w:val="28"/>
          <w:u w:val="single"/>
        </w:rPr>
      </w:pPr>
      <w:r w:rsidRPr="002D35CC">
        <w:rPr>
          <w:rFonts w:eastAsia="+mn-ea" w:cs="+mn-cs"/>
          <w:color w:val="000000"/>
          <w:kern w:val="24"/>
          <w:sz w:val="28"/>
          <w:szCs w:val="28"/>
          <w:u w:val="single"/>
        </w:rPr>
        <w:lastRenderedPageBreak/>
        <w:t>Financial Figures</w:t>
      </w:r>
    </w:p>
    <w:p w:rsidR="002D35CC" w:rsidRDefault="002D35CC"/>
    <w:tbl>
      <w:tblPr>
        <w:tblW w:w="5280" w:type="dxa"/>
        <w:tblInd w:w="108" w:type="dxa"/>
        <w:tblLook w:val="04A0" w:firstRow="1" w:lastRow="0" w:firstColumn="1" w:lastColumn="0" w:noHBand="0" w:noVBand="1"/>
      </w:tblPr>
      <w:tblGrid>
        <w:gridCol w:w="2620"/>
        <w:gridCol w:w="1460"/>
        <w:gridCol w:w="1200"/>
      </w:tblGrid>
      <w:tr w:rsidR="005F5334" w:rsidRPr="005F5334" w:rsidTr="005F5334">
        <w:trPr>
          <w:trHeight w:val="315"/>
        </w:trPr>
        <w:tc>
          <w:tcPr>
            <w:tcW w:w="2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BC4EA"/>
            <w:noWrap/>
            <w:vAlign w:val="bottom"/>
            <w:hideMark/>
          </w:tcPr>
          <w:p w:rsidR="005F5334" w:rsidRPr="005F5334" w:rsidRDefault="005F5334" w:rsidP="005F5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F53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BC4EA"/>
            <w:noWrap/>
            <w:vAlign w:val="bottom"/>
            <w:hideMark/>
          </w:tcPr>
          <w:p w:rsidR="005F5334" w:rsidRPr="005F5334" w:rsidRDefault="005F5334" w:rsidP="005F5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F53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Industry Median</w:t>
            </w:r>
          </w:p>
        </w:tc>
        <w:tc>
          <w:tcPr>
            <w:tcW w:w="120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BC4EA"/>
            <w:noWrap/>
            <w:vAlign w:val="bottom"/>
            <w:hideMark/>
          </w:tcPr>
          <w:p w:rsidR="005F5334" w:rsidRPr="005F5334" w:rsidRDefault="005F5334" w:rsidP="005F53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F53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2018</w:t>
            </w:r>
          </w:p>
        </w:tc>
      </w:tr>
      <w:tr w:rsidR="005F5334" w:rsidRPr="005F5334" w:rsidTr="005F5334">
        <w:trPr>
          <w:trHeight w:val="285"/>
        </w:trPr>
        <w:tc>
          <w:tcPr>
            <w:tcW w:w="2620" w:type="dxa"/>
            <w:tcBorders>
              <w:top w:val="single" w:sz="8" w:space="0" w:color="C1C1C1"/>
              <w:left w:val="nil"/>
              <w:bottom w:val="single" w:sz="8" w:space="0" w:color="C1C1C1"/>
              <w:right w:val="single" w:sz="8" w:space="0" w:color="CCCCCC"/>
            </w:tcBorders>
            <w:shd w:val="clear" w:color="000000" w:fill="F5F6FA"/>
            <w:noWrap/>
            <w:vAlign w:val="bottom"/>
            <w:hideMark/>
          </w:tcPr>
          <w:p w:rsidR="005F5334" w:rsidRPr="005F5334" w:rsidRDefault="005F5334" w:rsidP="005F53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F5334">
              <w:rPr>
                <w:rFonts w:ascii="Calibri" w:eastAsia="Times New Roman" w:hAnsi="Calibri" w:cs="Calibri"/>
                <w:b/>
                <w:bCs/>
                <w:color w:val="000000"/>
              </w:rPr>
              <w:t>Earnings Quality Score</w:t>
            </w:r>
          </w:p>
        </w:tc>
        <w:tc>
          <w:tcPr>
            <w:tcW w:w="1460" w:type="dxa"/>
            <w:tcBorders>
              <w:top w:val="single" w:sz="8" w:space="0" w:color="C1C1C1"/>
              <w:left w:val="nil"/>
              <w:bottom w:val="single" w:sz="8" w:space="0" w:color="C1C1C1"/>
              <w:right w:val="nil"/>
            </w:tcBorders>
            <w:shd w:val="clear" w:color="000000" w:fill="E0E0E0"/>
            <w:noWrap/>
            <w:hideMark/>
          </w:tcPr>
          <w:p w:rsidR="005F5334" w:rsidRPr="005F5334" w:rsidRDefault="005F5334" w:rsidP="005F5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</w:rPr>
            </w:pPr>
            <w:r w:rsidRPr="005F5334">
              <w:rPr>
                <w:rFonts w:ascii="Calibri" w:eastAsia="Times New Roman" w:hAnsi="Calibri" w:cs="Calibri"/>
                <w:b/>
                <w:bCs/>
                <w:color w:val="333333"/>
              </w:rPr>
              <w:t>38</w:t>
            </w:r>
          </w:p>
        </w:tc>
        <w:tc>
          <w:tcPr>
            <w:tcW w:w="1200" w:type="dxa"/>
            <w:tcBorders>
              <w:top w:val="single" w:sz="8" w:space="0" w:color="C1C1C1"/>
              <w:left w:val="nil"/>
              <w:bottom w:val="single" w:sz="8" w:space="0" w:color="C1C1C1"/>
              <w:right w:val="nil"/>
            </w:tcBorders>
            <w:shd w:val="clear" w:color="000000" w:fill="E0E0E0"/>
            <w:noWrap/>
            <w:hideMark/>
          </w:tcPr>
          <w:p w:rsidR="005F5334" w:rsidRPr="005F5334" w:rsidRDefault="005F5334" w:rsidP="005F5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</w:rPr>
            </w:pPr>
            <w:r w:rsidRPr="005F5334">
              <w:rPr>
                <w:rFonts w:ascii="Calibri" w:eastAsia="Times New Roman" w:hAnsi="Calibri" w:cs="Calibri"/>
                <w:b/>
                <w:bCs/>
                <w:color w:val="333333"/>
              </w:rPr>
              <w:t>49</w:t>
            </w:r>
          </w:p>
        </w:tc>
      </w:tr>
      <w:tr w:rsidR="005F5334" w:rsidRPr="005F5334" w:rsidTr="005F5334">
        <w:trPr>
          <w:trHeight w:val="315"/>
        </w:trPr>
        <w:tc>
          <w:tcPr>
            <w:tcW w:w="2620" w:type="dxa"/>
            <w:tcBorders>
              <w:top w:val="single" w:sz="8" w:space="0" w:color="E5EBF4"/>
              <w:left w:val="nil"/>
              <w:bottom w:val="nil"/>
              <w:right w:val="single" w:sz="8" w:space="0" w:color="CCCCCC"/>
            </w:tcBorders>
            <w:shd w:val="clear" w:color="000000" w:fill="FFFFFF"/>
            <w:noWrap/>
            <w:vAlign w:val="bottom"/>
            <w:hideMark/>
          </w:tcPr>
          <w:p w:rsidR="005F5334" w:rsidRPr="005F5334" w:rsidRDefault="005F5334" w:rsidP="005F5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F53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EBITDA Margin</w:t>
            </w:r>
          </w:p>
        </w:tc>
        <w:tc>
          <w:tcPr>
            <w:tcW w:w="1460" w:type="dxa"/>
            <w:tcBorders>
              <w:top w:val="single" w:sz="8" w:space="0" w:color="E5EBF4"/>
              <w:left w:val="nil"/>
              <w:bottom w:val="nil"/>
              <w:right w:val="nil"/>
            </w:tcBorders>
            <w:shd w:val="clear" w:color="000000" w:fill="F3F6FB"/>
            <w:vAlign w:val="bottom"/>
            <w:hideMark/>
          </w:tcPr>
          <w:p w:rsidR="005F5334" w:rsidRPr="005F5334" w:rsidRDefault="005F5334" w:rsidP="005F53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F53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14.2% </w:t>
            </w:r>
          </w:p>
        </w:tc>
        <w:tc>
          <w:tcPr>
            <w:tcW w:w="1200" w:type="dxa"/>
            <w:tcBorders>
              <w:top w:val="single" w:sz="8" w:space="0" w:color="E5EBF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334" w:rsidRPr="005F5334" w:rsidRDefault="005F5334" w:rsidP="005F53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F53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9.9%</w:t>
            </w:r>
          </w:p>
        </w:tc>
      </w:tr>
      <w:tr w:rsidR="005F5334" w:rsidRPr="005F5334" w:rsidTr="005F5334">
        <w:trPr>
          <w:trHeight w:val="315"/>
        </w:trPr>
        <w:tc>
          <w:tcPr>
            <w:tcW w:w="2620" w:type="dxa"/>
            <w:tcBorders>
              <w:top w:val="single" w:sz="8" w:space="0" w:color="E5EBF4"/>
              <w:left w:val="nil"/>
              <w:bottom w:val="nil"/>
              <w:right w:val="single" w:sz="8" w:space="0" w:color="CCCCCC"/>
            </w:tcBorders>
            <w:shd w:val="clear" w:color="000000" w:fill="FFFFFF"/>
            <w:noWrap/>
            <w:vAlign w:val="bottom"/>
            <w:hideMark/>
          </w:tcPr>
          <w:p w:rsidR="005F5334" w:rsidRPr="005F5334" w:rsidRDefault="005F5334" w:rsidP="005F5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F53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Operating Margin</w:t>
            </w:r>
          </w:p>
        </w:tc>
        <w:tc>
          <w:tcPr>
            <w:tcW w:w="1460" w:type="dxa"/>
            <w:tcBorders>
              <w:top w:val="single" w:sz="8" w:space="0" w:color="E5EBF4"/>
              <w:left w:val="nil"/>
              <w:bottom w:val="nil"/>
              <w:right w:val="nil"/>
            </w:tcBorders>
            <w:shd w:val="clear" w:color="000000" w:fill="F3F6FB"/>
            <w:vAlign w:val="bottom"/>
            <w:hideMark/>
          </w:tcPr>
          <w:p w:rsidR="005F5334" w:rsidRPr="005F5334" w:rsidRDefault="005F5334" w:rsidP="005F53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F53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6.5% </w:t>
            </w:r>
          </w:p>
        </w:tc>
        <w:tc>
          <w:tcPr>
            <w:tcW w:w="1200" w:type="dxa"/>
            <w:tcBorders>
              <w:top w:val="single" w:sz="8" w:space="0" w:color="E5EBF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334" w:rsidRPr="005F5334" w:rsidRDefault="005F5334" w:rsidP="005F53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F53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0.6%</w:t>
            </w:r>
          </w:p>
        </w:tc>
      </w:tr>
      <w:tr w:rsidR="005F5334" w:rsidRPr="005F5334" w:rsidTr="005F5334">
        <w:trPr>
          <w:trHeight w:val="315"/>
        </w:trPr>
        <w:tc>
          <w:tcPr>
            <w:tcW w:w="2620" w:type="dxa"/>
            <w:tcBorders>
              <w:top w:val="single" w:sz="8" w:space="0" w:color="E5EBF4"/>
              <w:left w:val="nil"/>
              <w:bottom w:val="nil"/>
              <w:right w:val="single" w:sz="8" w:space="0" w:color="CCCCCC"/>
            </w:tcBorders>
            <w:shd w:val="clear" w:color="000000" w:fill="FFFFFF"/>
            <w:noWrap/>
            <w:vAlign w:val="bottom"/>
            <w:hideMark/>
          </w:tcPr>
          <w:p w:rsidR="005F5334" w:rsidRPr="005F5334" w:rsidRDefault="005F5334" w:rsidP="005F5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F53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Pretax Margin</w:t>
            </w:r>
          </w:p>
        </w:tc>
        <w:tc>
          <w:tcPr>
            <w:tcW w:w="1460" w:type="dxa"/>
            <w:tcBorders>
              <w:top w:val="single" w:sz="8" w:space="0" w:color="E5EBF4"/>
              <w:left w:val="nil"/>
              <w:bottom w:val="nil"/>
              <w:right w:val="nil"/>
            </w:tcBorders>
            <w:shd w:val="clear" w:color="000000" w:fill="F3F6FB"/>
            <w:vAlign w:val="bottom"/>
            <w:hideMark/>
          </w:tcPr>
          <w:p w:rsidR="005F5334" w:rsidRPr="005F5334" w:rsidRDefault="005F5334" w:rsidP="005F53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F53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3.5% </w:t>
            </w:r>
          </w:p>
        </w:tc>
        <w:tc>
          <w:tcPr>
            <w:tcW w:w="1200" w:type="dxa"/>
            <w:tcBorders>
              <w:top w:val="single" w:sz="8" w:space="0" w:color="E5EBF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334" w:rsidRPr="005F5334" w:rsidRDefault="005F5334" w:rsidP="005F53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F53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(0.5%)</w:t>
            </w:r>
          </w:p>
        </w:tc>
      </w:tr>
      <w:tr w:rsidR="005F5334" w:rsidRPr="005F5334" w:rsidTr="005F5334">
        <w:trPr>
          <w:trHeight w:val="315"/>
        </w:trPr>
        <w:tc>
          <w:tcPr>
            <w:tcW w:w="2620" w:type="dxa"/>
            <w:tcBorders>
              <w:top w:val="single" w:sz="8" w:space="0" w:color="E5EBF4"/>
              <w:left w:val="nil"/>
              <w:bottom w:val="nil"/>
              <w:right w:val="single" w:sz="8" w:space="0" w:color="CCCCCC"/>
            </w:tcBorders>
            <w:shd w:val="clear" w:color="000000" w:fill="FFFFFF"/>
            <w:noWrap/>
            <w:vAlign w:val="bottom"/>
            <w:hideMark/>
          </w:tcPr>
          <w:p w:rsidR="005F5334" w:rsidRPr="005F5334" w:rsidRDefault="005F5334" w:rsidP="005F5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F53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Net Margin</w:t>
            </w:r>
          </w:p>
        </w:tc>
        <w:tc>
          <w:tcPr>
            <w:tcW w:w="1460" w:type="dxa"/>
            <w:tcBorders>
              <w:top w:val="single" w:sz="8" w:space="0" w:color="E5EBF4"/>
              <w:left w:val="nil"/>
              <w:bottom w:val="nil"/>
              <w:right w:val="nil"/>
            </w:tcBorders>
            <w:shd w:val="clear" w:color="000000" w:fill="F3F6FB"/>
            <w:vAlign w:val="bottom"/>
            <w:hideMark/>
          </w:tcPr>
          <w:p w:rsidR="005F5334" w:rsidRPr="005F5334" w:rsidRDefault="005F5334" w:rsidP="005F53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F53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3.1% </w:t>
            </w:r>
          </w:p>
        </w:tc>
        <w:tc>
          <w:tcPr>
            <w:tcW w:w="1200" w:type="dxa"/>
            <w:tcBorders>
              <w:top w:val="single" w:sz="8" w:space="0" w:color="E5EBF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334" w:rsidRPr="005F5334" w:rsidRDefault="005F5334" w:rsidP="005F53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F53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(1.5%)</w:t>
            </w:r>
          </w:p>
        </w:tc>
      </w:tr>
      <w:tr w:rsidR="005F5334" w:rsidRPr="005F5334" w:rsidTr="005F5334">
        <w:trPr>
          <w:trHeight w:val="315"/>
        </w:trPr>
        <w:tc>
          <w:tcPr>
            <w:tcW w:w="2620" w:type="dxa"/>
            <w:tcBorders>
              <w:top w:val="single" w:sz="8" w:space="0" w:color="E5EBF4"/>
              <w:left w:val="nil"/>
              <w:bottom w:val="nil"/>
              <w:right w:val="single" w:sz="8" w:space="0" w:color="CCCCCC"/>
            </w:tcBorders>
            <w:shd w:val="clear" w:color="000000" w:fill="F2F4F9"/>
            <w:noWrap/>
            <w:vAlign w:val="bottom"/>
            <w:hideMark/>
          </w:tcPr>
          <w:p w:rsidR="005F5334" w:rsidRPr="005F5334" w:rsidRDefault="005F5334" w:rsidP="005F5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F53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Liquidity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8D7DE"/>
            <w:noWrap/>
            <w:vAlign w:val="bottom"/>
            <w:hideMark/>
          </w:tcPr>
          <w:p w:rsidR="005F5334" w:rsidRPr="005F5334" w:rsidRDefault="005F5334" w:rsidP="005F5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F53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8" w:space="0" w:color="E5EBF4"/>
              <w:left w:val="nil"/>
              <w:bottom w:val="nil"/>
              <w:right w:val="nil"/>
            </w:tcBorders>
            <w:shd w:val="clear" w:color="000000" w:fill="F2F4F9"/>
            <w:vAlign w:val="bottom"/>
            <w:hideMark/>
          </w:tcPr>
          <w:p w:rsidR="005F5334" w:rsidRPr="005F5334" w:rsidRDefault="005F5334" w:rsidP="005F53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F53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F5334" w:rsidRPr="005F5334" w:rsidTr="005F5334">
        <w:trPr>
          <w:trHeight w:val="315"/>
        </w:trPr>
        <w:tc>
          <w:tcPr>
            <w:tcW w:w="2620" w:type="dxa"/>
            <w:tcBorders>
              <w:top w:val="single" w:sz="8" w:space="0" w:color="E5EBF4"/>
              <w:left w:val="nil"/>
              <w:bottom w:val="nil"/>
              <w:right w:val="single" w:sz="8" w:space="0" w:color="CCCCCC"/>
            </w:tcBorders>
            <w:shd w:val="clear" w:color="000000" w:fill="FFFFFF"/>
            <w:noWrap/>
            <w:vAlign w:val="bottom"/>
            <w:hideMark/>
          </w:tcPr>
          <w:p w:rsidR="005F5334" w:rsidRPr="005F5334" w:rsidRDefault="005F5334" w:rsidP="005F5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F53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Quick Ratio</w:t>
            </w:r>
          </w:p>
        </w:tc>
        <w:tc>
          <w:tcPr>
            <w:tcW w:w="1460" w:type="dxa"/>
            <w:tcBorders>
              <w:top w:val="single" w:sz="8" w:space="0" w:color="E5EBF4"/>
              <w:left w:val="nil"/>
              <w:bottom w:val="nil"/>
              <w:right w:val="nil"/>
            </w:tcBorders>
            <w:shd w:val="clear" w:color="000000" w:fill="F3F6FB"/>
            <w:vAlign w:val="bottom"/>
            <w:hideMark/>
          </w:tcPr>
          <w:p w:rsidR="005F5334" w:rsidRPr="005F5334" w:rsidRDefault="005F5334" w:rsidP="005F53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F53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1.11 </w:t>
            </w:r>
          </w:p>
        </w:tc>
        <w:tc>
          <w:tcPr>
            <w:tcW w:w="1200" w:type="dxa"/>
            <w:tcBorders>
              <w:top w:val="single" w:sz="8" w:space="0" w:color="E5EBF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334" w:rsidRPr="005F5334" w:rsidRDefault="005F5334" w:rsidP="005F53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F53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1.44 </w:t>
            </w:r>
          </w:p>
        </w:tc>
      </w:tr>
      <w:tr w:rsidR="005F5334" w:rsidRPr="005F5334" w:rsidTr="005F5334">
        <w:trPr>
          <w:trHeight w:val="315"/>
        </w:trPr>
        <w:tc>
          <w:tcPr>
            <w:tcW w:w="2620" w:type="dxa"/>
            <w:tcBorders>
              <w:top w:val="single" w:sz="8" w:space="0" w:color="E5EBF4"/>
              <w:left w:val="nil"/>
              <w:bottom w:val="nil"/>
              <w:right w:val="single" w:sz="8" w:space="0" w:color="CCCCCC"/>
            </w:tcBorders>
            <w:shd w:val="clear" w:color="000000" w:fill="FFFFFF"/>
            <w:noWrap/>
            <w:vAlign w:val="bottom"/>
            <w:hideMark/>
          </w:tcPr>
          <w:p w:rsidR="005F5334" w:rsidRPr="005F5334" w:rsidRDefault="005F5334" w:rsidP="005F5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F53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Current Ratio</w:t>
            </w:r>
          </w:p>
        </w:tc>
        <w:tc>
          <w:tcPr>
            <w:tcW w:w="1460" w:type="dxa"/>
            <w:tcBorders>
              <w:top w:val="single" w:sz="8" w:space="0" w:color="E5EBF4"/>
              <w:left w:val="nil"/>
              <w:bottom w:val="nil"/>
              <w:right w:val="nil"/>
            </w:tcBorders>
            <w:shd w:val="clear" w:color="000000" w:fill="F3F6FB"/>
            <w:vAlign w:val="bottom"/>
            <w:hideMark/>
          </w:tcPr>
          <w:p w:rsidR="005F5334" w:rsidRPr="005F5334" w:rsidRDefault="005F5334" w:rsidP="005F53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F53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1.18 </w:t>
            </w:r>
          </w:p>
        </w:tc>
        <w:tc>
          <w:tcPr>
            <w:tcW w:w="1200" w:type="dxa"/>
            <w:tcBorders>
              <w:top w:val="single" w:sz="8" w:space="0" w:color="E5EBF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334" w:rsidRPr="005F5334" w:rsidRDefault="005F5334" w:rsidP="005F53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F53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1.54 </w:t>
            </w:r>
          </w:p>
        </w:tc>
      </w:tr>
      <w:tr w:rsidR="005F5334" w:rsidRPr="005F5334" w:rsidTr="005F5334">
        <w:trPr>
          <w:trHeight w:val="315"/>
        </w:trPr>
        <w:tc>
          <w:tcPr>
            <w:tcW w:w="2620" w:type="dxa"/>
            <w:tcBorders>
              <w:top w:val="single" w:sz="8" w:space="0" w:color="E5EBF4"/>
              <w:left w:val="nil"/>
              <w:bottom w:val="nil"/>
              <w:right w:val="single" w:sz="8" w:space="0" w:color="CCCCCC"/>
            </w:tcBorders>
            <w:shd w:val="clear" w:color="000000" w:fill="FFFFFF"/>
            <w:noWrap/>
            <w:vAlign w:val="bottom"/>
            <w:hideMark/>
          </w:tcPr>
          <w:p w:rsidR="005F5334" w:rsidRPr="005F5334" w:rsidRDefault="005F5334" w:rsidP="005F5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F53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Cash Cycle (Days)</w:t>
            </w:r>
          </w:p>
        </w:tc>
        <w:tc>
          <w:tcPr>
            <w:tcW w:w="1460" w:type="dxa"/>
            <w:tcBorders>
              <w:top w:val="single" w:sz="8" w:space="0" w:color="E5EBF4"/>
              <w:left w:val="nil"/>
              <w:bottom w:val="nil"/>
              <w:right w:val="nil"/>
            </w:tcBorders>
            <w:shd w:val="clear" w:color="000000" w:fill="F3F6FB"/>
            <w:vAlign w:val="bottom"/>
            <w:hideMark/>
          </w:tcPr>
          <w:p w:rsidR="005F5334" w:rsidRPr="005F5334" w:rsidRDefault="005F5334" w:rsidP="005F53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DC0A0A"/>
                <w:sz w:val="20"/>
                <w:szCs w:val="20"/>
              </w:rPr>
            </w:pPr>
            <w:r w:rsidRPr="005F5334">
              <w:rPr>
                <w:rFonts w:ascii="Calibri" w:eastAsia="Times New Roman" w:hAnsi="Calibri" w:cs="Calibri"/>
                <w:color w:val="DC0A0A"/>
                <w:sz w:val="20"/>
                <w:szCs w:val="20"/>
              </w:rPr>
              <w:t>(0.4) </w:t>
            </w:r>
          </w:p>
        </w:tc>
        <w:tc>
          <w:tcPr>
            <w:tcW w:w="1200" w:type="dxa"/>
            <w:tcBorders>
              <w:top w:val="single" w:sz="8" w:space="0" w:color="E5EBF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334" w:rsidRPr="005F5334" w:rsidRDefault="005F5334" w:rsidP="005F53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F53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51.0 </w:t>
            </w:r>
          </w:p>
        </w:tc>
      </w:tr>
      <w:tr w:rsidR="005F5334" w:rsidRPr="005F5334" w:rsidTr="005F5334">
        <w:trPr>
          <w:trHeight w:val="315"/>
        </w:trPr>
        <w:tc>
          <w:tcPr>
            <w:tcW w:w="2620" w:type="dxa"/>
            <w:tcBorders>
              <w:top w:val="single" w:sz="8" w:space="0" w:color="E5EBF4"/>
              <w:left w:val="nil"/>
              <w:bottom w:val="nil"/>
              <w:right w:val="single" w:sz="8" w:space="0" w:color="CCCCCC"/>
            </w:tcBorders>
            <w:shd w:val="clear" w:color="000000" w:fill="F2F4F9"/>
            <w:noWrap/>
            <w:vAlign w:val="bottom"/>
            <w:hideMark/>
          </w:tcPr>
          <w:p w:rsidR="005F5334" w:rsidRPr="005F5334" w:rsidRDefault="005F5334" w:rsidP="005F5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F53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Leverage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8D7DE"/>
            <w:noWrap/>
            <w:vAlign w:val="bottom"/>
            <w:hideMark/>
          </w:tcPr>
          <w:p w:rsidR="005F5334" w:rsidRPr="005F5334" w:rsidRDefault="005F5334" w:rsidP="005F5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F53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8" w:space="0" w:color="E5EBF4"/>
              <w:left w:val="nil"/>
              <w:bottom w:val="nil"/>
              <w:right w:val="nil"/>
            </w:tcBorders>
            <w:shd w:val="clear" w:color="000000" w:fill="F2F4F9"/>
            <w:vAlign w:val="bottom"/>
            <w:hideMark/>
          </w:tcPr>
          <w:p w:rsidR="005F5334" w:rsidRPr="005F5334" w:rsidRDefault="005F5334" w:rsidP="005F53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F53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F5334" w:rsidRPr="005F5334" w:rsidTr="005F5334">
        <w:trPr>
          <w:trHeight w:val="315"/>
        </w:trPr>
        <w:tc>
          <w:tcPr>
            <w:tcW w:w="2620" w:type="dxa"/>
            <w:tcBorders>
              <w:top w:val="single" w:sz="8" w:space="0" w:color="E5EBF4"/>
              <w:left w:val="nil"/>
              <w:bottom w:val="nil"/>
              <w:right w:val="single" w:sz="8" w:space="0" w:color="CCCCCC"/>
            </w:tcBorders>
            <w:shd w:val="clear" w:color="000000" w:fill="FFFFFF"/>
            <w:noWrap/>
            <w:vAlign w:val="bottom"/>
            <w:hideMark/>
          </w:tcPr>
          <w:p w:rsidR="005F5334" w:rsidRPr="005F5334" w:rsidRDefault="005F5334" w:rsidP="005F5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F53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Assets/Equity</w:t>
            </w:r>
          </w:p>
        </w:tc>
        <w:tc>
          <w:tcPr>
            <w:tcW w:w="1460" w:type="dxa"/>
            <w:tcBorders>
              <w:top w:val="single" w:sz="8" w:space="0" w:color="E5EBF4"/>
              <w:left w:val="nil"/>
              <w:bottom w:val="nil"/>
              <w:right w:val="nil"/>
            </w:tcBorders>
            <w:shd w:val="clear" w:color="000000" w:fill="F3F6FB"/>
            <w:vAlign w:val="bottom"/>
            <w:hideMark/>
          </w:tcPr>
          <w:p w:rsidR="005F5334" w:rsidRPr="005F5334" w:rsidRDefault="005F5334" w:rsidP="005F53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F53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2.43 </w:t>
            </w:r>
          </w:p>
        </w:tc>
        <w:tc>
          <w:tcPr>
            <w:tcW w:w="1200" w:type="dxa"/>
            <w:tcBorders>
              <w:top w:val="single" w:sz="8" w:space="0" w:color="E5EBF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334" w:rsidRPr="005F5334" w:rsidRDefault="005F5334" w:rsidP="005F53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F53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1.74 </w:t>
            </w:r>
          </w:p>
        </w:tc>
      </w:tr>
      <w:tr w:rsidR="005F5334" w:rsidRPr="005F5334" w:rsidTr="005F5334">
        <w:trPr>
          <w:trHeight w:val="315"/>
        </w:trPr>
        <w:tc>
          <w:tcPr>
            <w:tcW w:w="2620" w:type="dxa"/>
            <w:tcBorders>
              <w:top w:val="single" w:sz="8" w:space="0" w:color="E5EBF4"/>
              <w:left w:val="nil"/>
              <w:bottom w:val="nil"/>
              <w:right w:val="single" w:sz="8" w:space="0" w:color="CCCCCC"/>
            </w:tcBorders>
            <w:shd w:val="clear" w:color="000000" w:fill="FFFFFF"/>
            <w:noWrap/>
            <w:vAlign w:val="bottom"/>
            <w:hideMark/>
          </w:tcPr>
          <w:p w:rsidR="005F5334" w:rsidRPr="005F5334" w:rsidRDefault="005F5334" w:rsidP="005F5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F53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Debt/Equity</w:t>
            </w:r>
          </w:p>
        </w:tc>
        <w:tc>
          <w:tcPr>
            <w:tcW w:w="1460" w:type="dxa"/>
            <w:tcBorders>
              <w:top w:val="single" w:sz="8" w:space="0" w:color="E5EBF4"/>
              <w:left w:val="nil"/>
              <w:bottom w:val="nil"/>
              <w:right w:val="nil"/>
            </w:tcBorders>
            <w:shd w:val="clear" w:color="000000" w:fill="F3F6FB"/>
            <w:vAlign w:val="bottom"/>
            <w:hideMark/>
          </w:tcPr>
          <w:p w:rsidR="005F5334" w:rsidRPr="005F5334" w:rsidRDefault="005F5334" w:rsidP="005F53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F53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0.83 </w:t>
            </w:r>
          </w:p>
        </w:tc>
        <w:tc>
          <w:tcPr>
            <w:tcW w:w="1200" w:type="dxa"/>
            <w:tcBorders>
              <w:top w:val="single" w:sz="8" w:space="0" w:color="E5EBF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334" w:rsidRPr="005F5334" w:rsidRDefault="005F5334" w:rsidP="005F53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F53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0.36 </w:t>
            </w:r>
          </w:p>
        </w:tc>
      </w:tr>
      <w:tr w:rsidR="005F5334" w:rsidRPr="005F5334" w:rsidTr="005F5334">
        <w:trPr>
          <w:trHeight w:val="315"/>
        </w:trPr>
        <w:tc>
          <w:tcPr>
            <w:tcW w:w="2620" w:type="dxa"/>
            <w:tcBorders>
              <w:top w:val="single" w:sz="8" w:space="0" w:color="E5EBF4"/>
              <w:left w:val="nil"/>
              <w:bottom w:val="nil"/>
              <w:right w:val="single" w:sz="8" w:space="0" w:color="CCCCCC"/>
            </w:tcBorders>
            <w:shd w:val="clear" w:color="000000" w:fill="FFFFFF"/>
            <w:noWrap/>
            <w:vAlign w:val="bottom"/>
            <w:hideMark/>
          </w:tcPr>
          <w:p w:rsidR="005F5334" w:rsidRPr="005F5334" w:rsidRDefault="005F5334" w:rsidP="005F5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F53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 LT Debt to Total Capital</w:t>
            </w:r>
          </w:p>
        </w:tc>
        <w:tc>
          <w:tcPr>
            <w:tcW w:w="1460" w:type="dxa"/>
            <w:tcBorders>
              <w:top w:val="single" w:sz="8" w:space="0" w:color="E5EBF4"/>
              <w:left w:val="nil"/>
              <w:bottom w:val="nil"/>
              <w:right w:val="nil"/>
            </w:tcBorders>
            <w:shd w:val="clear" w:color="000000" w:fill="F3F6FB"/>
            <w:vAlign w:val="bottom"/>
            <w:hideMark/>
          </w:tcPr>
          <w:p w:rsidR="005F5334" w:rsidRPr="005F5334" w:rsidRDefault="005F5334" w:rsidP="005F53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F53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36.3% </w:t>
            </w:r>
          </w:p>
        </w:tc>
        <w:tc>
          <w:tcPr>
            <w:tcW w:w="1200" w:type="dxa"/>
            <w:tcBorders>
              <w:top w:val="single" w:sz="8" w:space="0" w:color="E5EBF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334" w:rsidRPr="005F5334" w:rsidRDefault="005F5334" w:rsidP="005F53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F53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21.9%</w:t>
            </w:r>
          </w:p>
        </w:tc>
      </w:tr>
      <w:tr w:rsidR="005F5334" w:rsidRPr="005F5334" w:rsidTr="005F5334">
        <w:trPr>
          <w:trHeight w:val="315"/>
        </w:trPr>
        <w:tc>
          <w:tcPr>
            <w:tcW w:w="2620" w:type="dxa"/>
            <w:tcBorders>
              <w:top w:val="single" w:sz="8" w:space="0" w:color="E5EBF4"/>
              <w:left w:val="nil"/>
              <w:bottom w:val="nil"/>
              <w:right w:val="single" w:sz="8" w:space="0" w:color="CCCCCC"/>
            </w:tcBorders>
            <w:shd w:val="clear" w:color="000000" w:fill="FFFFFF"/>
            <w:noWrap/>
            <w:vAlign w:val="bottom"/>
            <w:hideMark/>
          </w:tcPr>
          <w:p w:rsidR="005F5334" w:rsidRPr="005F5334" w:rsidRDefault="005F5334" w:rsidP="005F5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F53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(Total Debt - Cash) / EBITDA</w:t>
            </w:r>
          </w:p>
        </w:tc>
        <w:tc>
          <w:tcPr>
            <w:tcW w:w="1460" w:type="dxa"/>
            <w:tcBorders>
              <w:top w:val="single" w:sz="8" w:space="0" w:color="E5EBF4"/>
              <w:left w:val="nil"/>
              <w:bottom w:val="nil"/>
              <w:right w:val="nil"/>
            </w:tcBorders>
            <w:shd w:val="clear" w:color="000000" w:fill="F3F6FB"/>
            <w:vAlign w:val="bottom"/>
            <w:hideMark/>
          </w:tcPr>
          <w:p w:rsidR="005F5334" w:rsidRPr="005F5334" w:rsidRDefault="005F5334" w:rsidP="005F53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F53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2.35 </w:t>
            </w:r>
          </w:p>
        </w:tc>
        <w:tc>
          <w:tcPr>
            <w:tcW w:w="1200" w:type="dxa"/>
            <w:tcBorders>
              <w:top w:val="single" w:sz="8" w:space="0" w:color="E5EBF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334" w:rsidRPr="005F5334" w:rsidRDefault="005F5334" w:rsidP="005F53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F53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2.82 </w:t>
            </w:r>
          </w:p>
        </w:tc>
      </w:tr>
    </w:tbl>
    <w:p w:rsidR="00497157" w:rsidRDefault="00497157"/>
    <w:p w:rsidR="00497157" w:rsidRDefault="00497157">
      <w:r>
        <w:br w:type="page"/>
      </w:r>
    </w:p>
    <w:p w:rsidR="002D35CC" w:rsidRPr="002D35CC" w:rsidRDefault="002D35CC" w:rsidP="002D35CC">
      <w:pPr>
        <w:ind w:left="360"/>
        <w:rPr>
          <w:rFonts w:eastAsia="+mn-ea" w:cs="+mn-cs"/>
          <w:color w:val="000000"/>
          <w:kern w:val="24"/>
          <w:sz w:val="28"/>
          <w:szCs w:val="28"/>
          <w:u w:val="single"/>
        </w:rPr>
      </w:pPr>
      <w:r w:rsidRPr="002D35CC">
        <w:rPr>
          <w:rFonts w:eastAsia="+mn-ea" w:cs="+mn-cs"/>
          <w:color w:val="000000"/>
          <w:kern w:val="24"/>
          <w:sz w:val="28"/>
          <w:szCs w:val="28"/>
          <w:u w:val="single"/>
        </w:rPr>
        <w:lastRenderedPageBreak/>
        <w:t>Management Board</w:t>
      </w:r>
    </w:p>
    <w:p w:rsidR="002D35CC" w:rsidRDefault="002D35CC" w:rsidP="00497157"/>
    <w:p w:rsidR="00497157" w:rsidRDefault="00497157" w:rsidP="00497157">
      <w:proofErr w:type="spellStart"/>
      <w:r>
        <w:t>Søren</w:t>
      </w:r>
      <w:proofErr w:type="spellEnd"/>
      <w:r>
        <w:t xml:space="preserve"> </w:t>
      </w:r>
      <w:proofErr w:type="spellStart"/>
      <w:r>
        <w:t>Skou</w:t>
      </w:r>
      <w:proofErr w:type="spellEnd"/>
      <w:r>
        <w:t>, Chief Executive Officer</w:t>
      </w:r>
    </w:p>
    <w:p w:rsidR="00497157" w:rsidRDefault="00497157" w:rsidP="00497157">
      <w:r>
        <w:t xml:space="preserve">Vincent </w:t>
      </w:r>
      <w:proofErr w:type="spellStart"/>
      <w:r>
        <w:t>Clerc</w:t>
      </w:r>
      <w:proofErr w:type="spellEnd"/>
      <w:r>
        <w:t>, Chief Commercial Officer</w:t>
      </w:r>
    </w:p>
    <w:p w:rsidR="00497157" w:rsidRDefault="00497157" w:rsidP="00497157">
      <w:proofErr w:type="spellStart"/>
      <w:r>
        <w:t>Søren</w:t>
      </w:r>
      <w:proofErr w:type="spellEnd"/>
      <w:r>
        <w:t xml:space="preserve"> </w:t>
      </w:r>
      <w:proofErr w:type="spellStart"/>
      <w:r>
        <w:t>Toft</w:t>
      </w:r>
      <w:proofErr w:type="spellEnd"/>
      <w:r>
        <w:t>, Chief Operating Officer</w:t>
      </w:r>
    </w:p>
    <w:p w:rsidR="00497157" w:rsidRDefault="00497157" w:rsidP="00497157">
      <w:proofErr w:type="spellStart"/>
      <w:r>
        <w:t>Jakob</w:t>
      </w:r>
      <w:proofErr w:type="spellEnd"/>
      <w:r>
        <w:t xml:space="preserve"> </w:t>
      </w:r>
      <w:proofErr w:type="spellStart"/>
      <w:r>
        <w:t>Stausholm</w:t>
      </w:r>
      <w:proofErr w:type="spellEnd"/>
      <w:r>
        <w:t>, Chief Strategy, Finance &amp; Transformation Officer</w:t>
      </w:r>
    </w:p>
    <w:p w:rsidR="00497157" w:rsidRDefault="00497157" w:rsidP="00497157">
      <w:r>
        <w:t xml:space="preserve">Vincent </w:t>
      </w:r>
      <w:proofErr w:type="spellStart"/>
      <w:r>
        <w:t>Clerc</w:t>
      </w:r>
      <w:proofErr w:type="spellEnd"/>
      <w:r>
        <w:t>, Chief Trade &amp; Marketing Officer</w:t>
      </w:r>
    </w:p>
    <w:p w:rsidR="00A61FC4" w:rsidRDefault="00497157" w:rsidP="00497157">
      <w:r>
        <w:t xml:space="preserve">Michael </w:t>
      </w:r>
      <w:proofErr w:type="spellStart"/>
      <w:r>
        <w:t>Chivers</w:t>
      </w:r>
      <w:proofErr w:type="spellEnd"/>
      <w:r>
        <w:t>, Head of Human Resources</w:t>
      </w:r>
    </w:p>
    <w:sectPr w:rsidR="00A61F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374CE"/>
    <w:multiLevelType w:val="hybridMultilevel"/>
    <w:tmpl w:val="8BE8E826"/>
    <w:lvl w:ilvl="0" w:tplc="A9AE0B4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A0688F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5D6A07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52AC4D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330D53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9AC538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54614C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D7A363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D28644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DFF"/>
    <w:rsid w:val="0013639E"/>
    <w:rsid w:val="001C4B70"/>
    <w:rsid w:val="002D35CC"/>
    <w:rsid w:val="00497157"/>
    <w:rsid w:val="005F5334"/>
    <w:rsid w:val="00687827"/>
    <w:rsid w:val="00970DFF"/>
    <w:rsid w:val="009C6CD3"/>
    <w:rsid w:val="00A61FC4"/>
    <w:rsid w:val="00B0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70B606-5316-4348-9CCF-E5645D935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D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00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3482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25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763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408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9011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997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777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916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8787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Stella Moysiadou</cp:lastModifiedBy>
  <cp:revision>2</cp:revision>
  <dcterms:created xsi:type="dcterms:W3CDTF">2019-10-28T12:24:00Z</dcterms:created>
  <dcterms:modified xsi:type="dcterms:W3CDTF">2019-10-28T12:24:00Z</dcterms:modified>
</cp:coreProperties>
</file>