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C8AA" w14:textId="77777777" w:rsidR="001E2CCD" w:rsidRDefault="001E2CCD" w:rsidP="001E2CCD">
      <w:pPr>
        <w:pStyle w:val="a3"/>
        <w:jc w:val="both"/>
      </w:pPr>
      <w:r w:rsidRPr="00CF717C">
        <w:t xml:space="preserve">Επενδύσεις σε ομολογίες </w:t>
      </w:r>
    </w:p>
    <w:p w14:paraId="533D19B8" w14:textId="77777777" w:rsidR="001E2CCD" w:rsidRDefault="001E2CCD" w:rsidP="001E2CCD">
      <w:pPr>
        <w:pStyle w:val="a3"/>
        <w:jc w:val="both"/>
        <w:rPr>
          <w:b w:val="0"/>
        </w:rPr>
      </w:pPr>
      <w:r w:rsidRPr="00CF717C">
        <w:rPr>
          <w:b w:val="0"/>
        </w:rPr>
        <w:t>Οι</w:t>
      </w:r>
      <w:r>
        <w:rPr>
          <w:b w:val="0"/>
        </w:rPr>
        <w:t xml:space="preserve"> ομολογίες είναι τίτλοι που εκδίδονται είτε από το Δημόσιο είτε από επιχειρήσεις (εταιρικά ομόλογα) και χρησιμοποιούνται για τον δανεισμό κεφαλαίων από το ευρύτερο επενδυτικό κοινό. Ο εκδότης του τίτλου (δανειζόμενος) υπόσχεται στον κάτοχο του τίτλου (ομολογιούχο επενδυτή) την καταβολή του ποσού που δανείσθηκε συν τους αναλογούντες τόκους. Ουσιαστικά το ομόλογο είναι δάνειο που παρίσταται με τίτλους. Οι ομολογίες συνήθως έχουν μεγάλη διάρκεια, και οπωσδήποτε μεγαλύτερη του  έτους.  Τίτλοι με διάρκεια μικρότερη του έτους καλούνται έντοκα γραμμάτια. </w:t>
      </w:r>
    </w:p>
    <w:p w14:paraId="6A107A43" w14:textId="77777777" w:rsidR="001E2CCD" w:rsidRPr="0096425D" w:rsidRDefault="001E2CCD" w:rsidP="001E2CCD">
      <w:pPr>
        <w:jc w:val="both"/>
        <w:rPr>
          <w:lang w:val="el-GR"/>
        </w:rPr>
      </w:pPr>
      <w:r w:rsidRPr="00A95836">
        <w:rPr>
          <w:lang w:val="el-GR"/>
        </w:rPr>
        <w:t xml:space="preserve">Η εξόφληση των ομολογιών γίνεται είτε εφάπαξ στο τέλος της ζωής τους (ομολογίες χωρίς τοκομερίδιο), είτε τμηματικά σε προκαθορισμένα χρονικά διαστήματα για όσα έτη διαρκεί η ομολογία (ομολογίες με τοκομερίδιο). Το τοκομερίδιο είναι οι περιοδικές πληρωμές τόκων προς τον ομολογιούχο. Στα ομόλογα μηδενικού τοκομεριδίου το ποσό των τόκων καταβάλλεται στη λήξη της ομολογίας. </w:t>
      </w:r>
      <w:r w:rsidRPr="0096425D">
        <w:rPr>
          <w:lang w:val="el-GR"/>
        </w:rPr>
        <w:t>Για τις ομολογίες με τοκομερίδιο, η καταβολή του τοκομερίδιου πραγματοποιείται σε τακτά χρονικά διαστήματα (εξάμηνα ή έτος).</w:t>
      </w:r>
    </w:p>
    <w:p w14:paraId="152F550D" w14:textId="77777777" w:rsidR="001E2CCD" w:rsidRPr="0096425D" w:rsidRDefault="001E2CCD" w:rsidP="001E2CCD">
      <w:pPr>
        <w:pStyle w:val="a3"/>
        <w:jc w:val="both"/>
        <w:rPr>
          <w:b w:val="0"/>
        </w:rPr>
      </w:pPr>
      <w:r w:rsidRPr="0096425D">
        <w:rPr>
          <w:b w:val="0"/>
        </w:rPr>
        <w:t xml:space="preserve">Οι όροι έκδοσης της ομολογίας καθορίζουν την ονομαστική αξία της ομολογίας, τη λήξη της και τις καταβολές των τόκων. Ονομαστική αξία της ομολογίας είναι η αξία που θα εισπράξει ο ομολογιούχος στη λήξη της ομολογίας. Το επιτόκιο το οποίο αναγράφεται επί της ομολογίας ονομάζεται ονομαστικό επιτόκιο. Πολλαπλασιάζοντας το ονομαστικό επιτόκιο με την ονομαστική αξία της ομολογίας προκύπτει το ποσό του τοκομερίδιου της ομολογίας. Έτσι σε μια ομολογία με ονομαστική αξία €100.000 και ονομαστικό ετήσιο επιτόκιο 10 %, το ετήσιο τοκομερίδιο είναι, €100.000 Χ 10 % = €10.000. </w:t>
      </w:r>
      <w:r>
        <w:rPr>
          <w:b w:val="0"/>
        </w:rPr>
        <w:t>Το τοκομερίδιο μπορεί να</w:t>
      </w:r>
      <w:r w:rsidRPr="0096425D">
        <w:rPr>
          <w:b w:val="0"/>
        </w:rPr>
        <w:t xml:space="preserve"> </w:t>
      </w:r>
      <w:r>
        <w:rPr>
          <w:b w:val="0"/>
        </w:rPr>
        <w:t>παραμέ</w:t>
      </w:r>
      <w:r w:rsidRPr="0096425D">
        <w:rPr>
          <w:b w:val="0"/>
        </w:rPr>
        <w:t xml:space="preserve">νει σταθερό για όλη τη διάρκεια </w:t>
      </w:r>
      <w:r>
        <w:rPr>
          <w:b w:val="0"/>
        </w:rPr>
        <w:t>της ομολογίας ή να μεταβάλλεται</w:t>
      </w:r>
      <w:r w:rsidRPr="0096425D">
        <w:rPr>
          <w:b w:val="0"/>
        </w:rPr>
        <w:t>.</w:t>
      </w:r>
    </w:p>
    <w:p w14:paraId="53DE9F1A" w14:textId="77777777" w:rsidR="001E2CCD" w:rsidRDefault="001E2CCD" w:rsidP="001E2CCD">
      <w:pPr>
        <w:pStyle w:val="a3"/>
        <w:jc w:val="both"/>
        <w:rPr>
          <w:b w:val="0"/>
        </w:rPr>
      </w:pPr>
      <w:r>
        <w:rPr>
          <w:b w:val="0"/>
        </w:rPr>
        <w:t xml:space="preserve">Για σκοπούς λογιστικής παρακολούθησης οι επενδύσεις σε ομολογίες αναγνωρίζονται είτε στο κυκλοφορούν είτε στο πάγιο ενεργητικό. Όταν η επιχείρηση έχει τη πρόθεση να διατηρήσει την επένδυση σε ομολογίες για μεγάλο χρονικό διάστημα η επένδυση κατατάσσεται στην κατηγορία του παγίου ενεργητικού. Οι ομολογίες τις οποίες η επιχείρηση έχει την πρόθεση να </w:t>
      </w:r>
      <w:proofErr w:type="spellStart"/>
      <w:r>
        <w:rPr>
          <w:b w:val="0"/>
        </w:rPr>
        <w:t>διακρατήσει</w:t>
      </w:r>
      <w:proofErr w:type="spellEnd"/>
      <w:r>
        <w:rPr>
          <w:b w:val="0"/>
        </w:rPr>
        <w:t xml:space="preserve"> μέχρι τη λήξη τους παρακολουθούνται σε λογαριασμό του παγίου ενεργητικού υπό τον τίτλο «Τίτλοι </w:t>
      </w:r>
      <w:proofErr w:type="spellStart"/>
      <w:r>
        <w:rPr>
          <w:b w:val="0"/>
        </w:rPr>
        <w:t>διακρατούμενοι</w:t>
      </w:r>
      <w:proofErr w:type="spellEnd"/>
      <w:r>
        <w:rPr>
          <w:b w:val="0"/>
        </w:rPr>
        <w:t xml:space="preserve"> ως τη λήξη». Οι επενδύσεις σε ομολογίες κατατάσσονται στην κατηγορία του </w:t>
      </w:r>
      <w:proofErr w:type="spellStart"/>
      <w:r>
        <w:rPr>
          <w:b w:val="0"/>
        </w:rPr>
        <w:t>κυκλοφορούντος</w:t>
      </w:r>
      <w:proofErr w:type="spellEnd"/>
      <w:r>
        <w:rPr>
          <w:b w:val="0"/>
        </w:rPr>
        <w:t xml:space="preserve"> ενεργητικού όταν μπορούν να ρευστοποιηθούν ευχερώς και ο ομολογιούχος (επενδυτής) έχει την πρόθεση να τις ρευστοποιήσει εντός της επόμενης χρήσης από την ημερομηνία κατάρτισης της κατάστασης οικονομικής θέσης. </w:t>
      </w:r>
    </w:p>
    <w:p w14:paraId="1E8A77F2" w14:textId="77777777" w:rsidR="001E2CCD" w:rsidRDefault="001E2CCD" w:rsidP="001E2CCD">
      <w:pPr>
        <w:pStyle w:val="a3"/>
        <w:jc w:val="both"/>
        <w:rPr>
          <w:b w:val="0"/>
        </w:rPr>
      </w:pPr>
    </w:p>
    <w:p w14:paraId="41284E0A" w14:textId="77777777" w:rsidR="001E2CCD" w:rsidRDefault="001E2CCD" w:rsidP="001E2CCD">
      <w:pPr>
        <w:pStyle w:val="a3"/>
        <w:jc w:val="both"/>
      </w:pPr>
      <w:r w:rsidRPr="00E0513B">
        <w:t xml:space="preserve">Επιμέτρηση των επενδύσεων σε ομολογίες </w:t>
      </w:r>
    </w:p>
    <w:p w14:paraId="4246A847" w14:textId="77777777" w:rsidR="001E2CCD" w:rsidRDefault="001E2CCD" w:rsidP="001E2CCD">
      <w:pPr>
        <w:pStyle w:val="a4"/>
        <w:rPr>
          <w:b/>
          <w:bCs/>
        </w:rPr>
      </w:pPr>
      <w:r w:rsidRPr="00800367">
        <w:t>Τα ομόλογα κατά την αρχική τους αναγνώριση αποτιμώνται στο κόστος απόκτησης τους. Το κόστος απόκτησης ενός ομολόγο</w:t>
      </w:r>
      <w:r>
        <w:t>υ</w:t>
      </w:r>
      <w:r w:rsidRPr="00800367">
        <w:t xml:space="preserve"> προσδιορίζεται από την τιμή αγοράς του τίτλου την ημερομηνία απόκτησης</w:t>
      </w:r>
      <w:r w:rsidRPr="00800367">
        <w:rPr>
          <w:bCs/>
        </w:rPr>
        <w:t>. Η τιμή αγοράς της ομολογίας είναι ίση με το άθροισμα : (α) της παρούσας αξία όλων των μελλοντικών τοκομερίδιων της ομολογίας και (β) της παρούσας αξίας της τιμής εξοφλήσεως της ομολογίας. Για την προεξόφληση των μελλοντικών εισπράξεων χρησιμοποιείται το ισχύον επιτόκιο της αγοράς για ομόλογα με παρόμοια χαρακτηριστικά. Το ισχύον επιτόκιο της αγοράς είναι η απόδοση την οποία απαιτούν οι επενδυτές από την επένδυσ</w:t>
      </w:r>
      <w:r>
        <w:rPr>
          <w:bCs/>
        </w:rPr>
        <w:t>ή</w:t>
      </w:r>
      <w:r w:rsidRPr="00800367">
        <w:rPr>
          <w:bCs/>
        </w:rPr>
        <w:t xml:space="preserve"> τους σε ομόλογα.</w:t>
      </w:r>
      <w:r>
        <w:rPr>
          <w:b/>
          <w:bCs/>
        </w:rPr>
        <w:t xml:space="preserve">  </w:t>
      </w:r>
    </w:p>
    <w:p w14:paraId="2BB2930C" w14:textId="77777777" w:rsidR="001E2CCD" w:rsidRDefault="001E2CCD" w:rsidP="001E2CCD">
      <w:pPr>
        <w:pStyle w:val="a4"/>
      </w:pPr>
      <w:r w:rsidRPr="0001064A">
        <w:t xml:space="preserve">Τα ομόλογα μετά την αρχική τους αναγνώριση μπορούν να αποτιμηθούν είτε </w:t>
      </w:r>
      <w:r>
        <w:t>βάσει της μεθόδου του</w:t>
      </w:r>
      <w:r w:rsidRPr="0001064A">
        <w:t xml:space="preserve"> </w:t>
      </w:r>
      <w:r>
        <w:t>αποσβεσμένου</w:t>
      </w:r>
      <w:r w:rsidRPr="0001064A">
        <w:t xml:space="preserve"> κόστο</w:t>
      </w:r>
      <w:r>
        <w:t>υ</w:t>
      </w:r>
      <w:r w:rsidRPr="0001064A">
        <w:t>ς</w:t>
      </w:r>
      <w:r w:rsidRPr="0084542A">
        <w:t>,</w:t>
      </w:r>
      <w:r w:rsidRPr="0001064A">
        <w:t xml:space="preserve"> είτε στην εύλογη </w:t>
      </w:r>
      <w:r>
        <w:t>αξία τους</w:t>
      </w:r>
    </w:p>
    <w:p w14:paraId="7CBFF25F" w14:textId="77777777" w:rsidR="001E2CCD" w:rsidRDefault="001E2CCD" w:rsidP="001E2CCD">
      <w:pPr>
        <w:pStyle w:val="a4"/>
        <w:rPr>
          <w:b/>
          <w:bCs/>
        </w:rPr>
      </w:pPr>
    </w:p>
    <w:p w14:paraId="6AC21D7F" w14:textId="77777777" w:rsidR="001E2CCD" w:rsidRDefault="001E2CCD" w:rsidP="001E2CCD">
      <w:pPr>
        <w:pStyle w:val="a3"/>
        <w:jc w:val="both"/>
      </w:pPr>
      <w:r w:rsidRPr="0001064A">
        <w:t>Μέθοδος του α</w:t>
      </w:r>
      <w:r>
        <w:t>ποσβεσμένου</w:t>
      </w:r>
      <w:r w:rsidRPr="0001064A">
        <w:t xml:space="preserve"> κόστους. </w:t>
      </w:r>
    </w:p>
    <w:p w14:paraId="33F27C0F" w14:textId="77777777" w:rsidR="001E2CCD" w:rsidRDefault="001E2CCD" w:rsidP="001E2CCD">
      <w:pPr>
        <w:pStyle w:val="a3"/>
        <w:jc w:val="both"/>
        <w:rPr>
          <w:b w:val="0"/>
          <w:bCs w:val="0"/>
        </w:rPr>
      </w:pPr>
      <w:r w:rsidRPr="0001064A">
        <w:rPr>
          <w:b w:val="0"/>
        </w:rPr>
        <w:lastRenderedPageBreak/>
        <w:t>Σύμφωνα με τη μέθοδο του α</w:t>
      </w:r>
      <w:r>
        <w:rPr>
          <w:b w:val="0"/>
        </w:rPr>
        <w:t>ποσβεσμένου</w:t>
      </w:r>
      <w:r w:rsidRPr="0001064A">
        <w:rPr>
          <w:b w:val="0"/>
        </w:rPr>
        <w:t xml:space="preserve"> κόστους </w:t>
      </w:r>
      <w:r>
        <w:rPr>
          <w:b w:val="0"/>
        </w:rPr>
        <w:t xml:space="preserve">οι επενδύσεις σε ομολογίες αποτιμώνται στο ποσό της αρχικής τους αναγνώρισης, μείον τις αποπληρωμές κεφαλαίου και μετά την αφαίρεση κάθε μείωσης της αξίας της επένδυσης λόγω </w:t>
      </w:r>
      <w:proofErr w:type="spellStart"/>
      <w:r>
        <w:rPr>
          <w:b w:val="0"/>
        </w:rPr>
        <w:t>απομείωσης</w:t>
      </w:r>
      <w:proofErr w:type="spellEnd"/>
      <w:r>
        <w:rPr>
          <w:b w:val="0"/>
        </w:rPr>
        <w:t xml:space="preserve"> ή μη </w:t>
      </w:r>
      <w:proofErr w:type="spellStart"/>
      <w:r>
        <w:rPr>
          <w:b w:val="0"/>
        </w:rPr>
        <w:t>εισπραξιμότητας</w:t>
      </w:r>
      <w:proofErr w:type="spellEnd"/>
      <w:r>
        <w:rPr>
          <w:b w:val="0"/>
        </w:rPr>
        <w:t xml:space="preserve">. </w:t>
      </w:r>
      <w:r>
        <w:rPr>
          <w:b w:val="0"/>
          <w:bCs w:val="0"/>
        </w:rPr>
        <w:t xml:space="preserve">Η λογιστική καταχώρηση της επένδυσης σε ομολογίες καθορίζεται από τη σχέση του ονομαστικού επιτοκίου της ομολογίας με το ισχύον </w:t>
      </w:r>
      <w:r w:rsidRPr="00800367">
        <w:rPr>
          <w:b w:val="0"/>
          <w:bCs w:val="0"/>
        </w:rPr>
        <w:t>επιτόκιο της αγοράς για ομόλογα με παρόμοια χαρακτηριστικά</w:t>
      </w:r>
      <w:r>
        <w:rPr>
          <w:b w:val="0"/>
          <w:bCs w:val="0"/>
        </w:rPr>
        <w:t>.</w:t>
      </w:r>
    </w:p>
    <w:p w14:paraId="788E2D01" w14:textId="77777777" w:rsidR="001E2CCD" w:rsidRDefault="001E2CCD" w:rsidP="001E2CCD">
      <w:pPr>
        <w:pStyle w:val="a3"/>
        <w:jc w:val="both"/>
        <w:rPr>
          <w:b w:val="0"/>
          <w:bCs w:val="0"/>
        </w:rPr>
      </w:pPr>
    </w:p>
    <w:p w14:paraId="01616C3D" w14:textId="77777777" w:rsidR="001E2CCD" w:rsidRDefault="001E2CCD" w:rsidP="001E2CCD">
      <w:pPr>
        <w:pStyle w:val="a3"/>
        <w:jc w:val="both"/>
        <w:rPr>
          <w:b w:val="0"/>
          <w:bCs w:val="0"/>
        </w:rPr>
      </w:pPr>
      <w:r>
        <w:rPr>
          <w:b w:val="0"/>
          <w:bCs w:val="0"/>
        </w:rPr>
        <w:t xml:space="preserve">  </w:t>
      </w:r>
    </w:p>
    <w:p w14:paraId="118210CB" w14:textId="77777777" w:rsidR="00166C6B" w:rsidRPr="00166C6B" w:rsidRDefault="00166C6B" w:rsidP="00166C6B">
      <w:pPr>
        <w:jc w:val="both"/>
        <w:rPr>
          <w:b/>
          <w:bCs/>
          <w:lang w:val="el-GR"/>
        </w:rPr>
      </w:pPr>
      <w:r w:rsidRPr="00166C6B">
        <w:rPr>
          <w:b/>
          <w:lang w:val="el-GR"/>
        </w:rPr>
        <w:t xml:space="preserve">Το ονομαστικό επιτόκιο της ομολογίας είναι ίσο με το ισχύον επιτόκιο της αγοράς         </w:t>
      </w:r>
    </w:p>
    <w:p w14:paraId="45CAEACD" w14:textId="77777777" w:rsidR="00166C6B" w:rsidRPr="00166C6B" w:rsidRDefault="00166C6B" w:rsidP="00166C6B">
      <w:pPr>
        <w:jc w:val="both"/>
        <w:rPr>
          <w:lang w:val="el-GR"/>
        </w:rPr>
      </w:pPr>
      <w:r w:rsidRPr="00166C6B">
        <w:rPr>
          <w:bCs/>
          <w:lang w:val="el-GR"/>
        </w:rPr>
        <w:t xml:space="preserve">Όταν το </w:t>
      </w:r>
      <w:r w:rsidRPr="00166C6B">
        <w:rPr>
          <w:lang w:val="el-GR"/>
        </w:rPr>
        <w:t xml:space="preserve">ονομαστικό επιτόκιο της ομολογίας είναι ίσο με το ισχύον επιτόκιο της αγοράς, η τιμή αγοράς της ομολογίας είναι ίση με την ονομαστική αξία της ομολογίας. Σε αυτή την περίπτωση η έκδοση της ομολογίας γίνεται </w:t>
      </w:r>
      <w:r w:rsidRPr="00166C6B">
        <w:rPr>
          <w:b/>
          <w:lang w:val="el-GR"/>
        </w:rPr>
        <w:t>στο άρτιο</w:t>
      </w:r>
      <w:r w:rsidRPr="00166C6B">
        <w:rPr>
          <w:lang w:val="el-GR"/>
        </w:rPr>
        <w:t>.</w:t>
      </w:r>
    </w:p>
    <w:p w14:paraId="149EA283" w14:textId="77777777" w:rsidR="00166C6B" w:rsidRPr="00166C6B" w:rsidRDefault="00166C6B" w:rsidP="00166C6B">
      <w:pPr>
        <w:jc w:val="both"/>
        <w:rPr>
          <w:lang w:val="el-GR"/>
        </w:rPr>
      </w:pPr>
      <w:r w:rsidRPr="00166C6B">
        <w:rPr>
          <w:lang w:val="el-GR"/>
        </w:rPr>
        <w:t xml:space="preserve">  </w:t>
      </w:r>
    </w:p>
    <w:p w14:paraId="24CD4A44" w14:textId="77777777" w:rsidR="00166C6B" w:rsidRPr="00166C6B" w:rsidRDefault="00166C6B" w:rsidP="00166C6B">
      <w:pPr>
        <w:jc w:val="both"/>
        <w:rPr>
          <w:b/>
          <w:bCs/>
          <w:lang w:val="el-GR"/>
        </w:rPr>
      </w:pPr>
      <w:r w:rsidRPr="00166C6B">
        <w:rPr>
          <w:b/>
          <w:lang w:val="el-GR"/>
        </w:rPr>
        <w:t xml:space="preserve">Παράδειγμα 6 </w:t>
      </w:r>
      <w:r w:rsidRPr="00166C6B">
        <w:rPr>
          <w:b/>
          <w:bCs/>
          <w:lang w:val="el-GR"/>
        </w:rPr>
        <w:t xml:space="preserve">  </w:t>
      </w:r>
    </w:p>
    <w:p w14:paraId="72A6E1E6" w14:textId="77777777" w:rsidR="00166C6B" w:rsidRPr="00166C6B" w:rsidRDefault="00166C6B" w:rsidP="00166C6B">
      <w:pPr>
        <w:jc w:val="both"/>
        <w:rPr>
          <w:bCs/>
          <w:lang w:val="el-GR"/>
        </w:rPr>
      </w:pPr>
      <w:r w:rsidRPr="00166C6B">
        <w:rPr>
          <w:bCs/>
          <w:lang w:val="el-GR"/>
        </w:rPr>
        <w:t>Η επιχείρηση «ΜΤ ΑΕ» αγοράζει την 1/1/20Χ0 κατά την έκδοσή της ομολογία η οποία εκδόθηκε από την «ΑΒ ΑΕ» και έχει τα παρακάτω χαρακτηριστικά:</w:t>
      </w:r>
    </w:p>
    <w:p w14:paraId="07353489" w14:textId="77777777" w:rsidR="00166C6B" w:rsidRPr="00166C6B" w:rsidRDefault="00166C6B" w:rsidP="00166C6B">
      <w:pPr>
        <w:jc w:val="both"/>
        <w:rPr>
          <w:bCs/>
          <w:lang w:val="el-GR"/>
        </w:rPr>
      </w:pPr>
      <w:r w:rsidRPr="00166C6B">
        <w:rPr>
          <w:bCs/>
          <w:lang w:val="el-GR"/>
        </w:rPr>
        <w:t>- Ονομαστική αξία: €100.000</w:t>
      </w:r>
    </w:p>
    <w:p w14:paraId="1F2D288A" w14:textId="77777777" w:rsidR="00166C6B" w:rsidRPr="00166C6B" w:rsidRDefault="00166C6B" w:rsidP="00166C6B">
      <w:pPr>
        <w:jc w:val="both"/>
        <w:rPr>
          <w:bCs/>
          <w:lang w:val="el-GR"/>
        </w:rPr>
      </w:pPr>
      <w:r w:rsidRPr="00166C6B">
        <w:rPr>
          <w:bCs/>
          <w:lang w:val="el-GR"/>
        </w:rPr>
        <w:t xml:space="preserve">- Διάρκεια : 5 έτη   </w:t>
      </w:r>
    </w:p>
    <w:p w14:paraId="2278F586" w14:textId="77777777" w:rsidR="00166C6B" w:rsidRPr="00166C6B" w:rsidRDefault="00166C6B" w:rsidP="00166C6B">
      <w:pPr>
        <w:jc w:val="both"/>
        <w:rPr>
          <w:bCs/>
          <w:lang w:val="el-GR"/>
        </w:rPr>
      </w:pPr>
      <w:r w:rsidRPr="00166C6B">
        <w:rPr>
          <w:bCs/>
          <w:lang w:val="el-GR"/>
        </w:rPr>
        <w:t>- Ονομαστικό επιτόκιο 10 %, ετήσιο σταθερό</w:t>
      </w:r>
    </w:p>
    <w:p w14:paraId="156FE2C9" w14:textId="77777777" w:rsidR="00166C6B" w:rsidRPr="00166C6B" w:rsidRDefault="00166C6B" w:rsidP="00166C6B">
      <w:pPr>
        <w:jc w:val="both"/>
        <w:rPr>
          <w:bCs/>
          <w:lang w:val="el-GR"/>
        </w:rPr>
      </w:pPr>
      <w:r w:rsidRPr="00166C6B">
        <w:rPr>
          <w:bCs/>
          <w:lang w:val="el-GR"/>
        </w:rPr>
        <w:t>- Το τοκομερίδιο καταβάλλεται την 31 Δεκεμβρίου κάθε έτους.</w:t>
      </w:r>
    </w:p>
    <w:p w14:paraId="005BE8FA" w14:textId="77777777" w:rsidR="00166C6B" w:rsidRPr="00166C6B" w:rsidRDefault="00166C6B" w:rsidP="00166C6B">
      <w:pPr>
        <w:jc w:val="both"/>
        <w:rPr>
          <w:bCs/>
          <w:lang w:val="el-GR"/>
        </w:rPr>
      </w:pPr>
      <w:r w:rsidRPr="00166C6B">
        <w:rPr>
          <w:bCs/>
          <w:lang w:val="el-GR"/>
        </w:rPr>
        <w:t xml:space="preserve">Το ποσό του τοκομεριδίου είναι: €100.000 Χ 10 % = 10.000.  </w:t>
      </w:r>
    </w:p>
    <w:p w14:paraId="61057BE3" w14:textId="77777777" w:rsidR="00166C6B" w:rsidRPr="00166C6B" w:rsidRDefault="00166C6B" w:rsidP="00166C6B">
      <w:pPr>
        <w:jc w:val="both"/>
        <w:rPr>
          <w:bCs/>
          <w:lang w:val="el-GR"/>
        </w:rPr>
      </w:pPr>
      <w:r w:rsidRPr="00166C6B">
        <w:rPr>
          <w:bCs/>
          <w:lang w:val="el-GR"/>
        </w:rPr>
        <w:t>Το ισχύον επιτόκιο της αγοράς για ομόλογα</w:t>
      </w:r>
      <w:r w:rsidRPr="00166C6B">
        <w:rPr>
          <w:lang w:val="el-GR"/>
        </w:rPr>
        <w:t xml:space="preserve"> με παρόμοια χαρακτηριστικά ε</w:t>
      </w:r>
      <w:r w:rsidRPr="00166C6B">
        <w:rPr>
          <w:bCs/>
          <w:lang w:val="el-GR"/>
        </w:rPr>
        <w:t xml:space="preserve">ίναι 10 %. </w:t>
      </w:r>
    </w:p>
    <w:p w14:paraId="2A6E8EBB" w14:textId="77777777" w:rsidR="00166C6B" w:rsidRPr="00166C6B" w:rsidRDefault="00166C6B" w:rsidP="00166C6B">
      <w:pPr>
        <w:jc w:val="both"/>
        <w:rPr>
          <w:lang w:val="el-GR"/>
        </w:rPr>
      </w:pPr>
      <w:r w:rsidRPr="00166C6B">
        <w:rPr>
          <w:bCs/>
          <w:lang w:val="el-GR"/>
        </w:rPr>
        <w:t xml:space="preserve">                   </w:t>
      </w:r>
    </w:p>
    <w:p w14:paraId="6E6666EF" w14:textId="77777777" w:rsidR="00166C6B" w:rsidRPr="00166C6B" w:rsidRDefault="00166C6B" w:rsidP="00166C6B">
      <w:pPr>
        <w:jc w:val="both"/>
        <w:rPr>
          <w:bCs/>
          <w:lang w:val="el-GR"/>
        </w:rPr>
      </w:pPr>
      <w:r w:rsidRPr="00166C6B">
        <w:rPr>
          <w:bCs/>
          <w:lang w:val="el-GR"/>
        </w:rPr>
        <w:t>Η λογιστική χρήση της «ΜΤ ΑΕ» αρχίζει την 1 Ιανουαρίου κάθε έτους και λήγει την 31 Δεκεμβρίου κάθε έτους.</w:t>
      </w:r>
      <w:r w:rsidRPr="00166C6B">
        <w:rPr>
          <w:b/>
          <w:bCs/>
          <w:lang w:val="el-GR"/>
        </w:rPr>
        <w:t xml:space="preserve"> </w:t>
      </w:r>
      <w:r w:rsidRPr="00166C6B">
        <w:rPr>
          <w:bCs/>
          <w:lang w:val="el-GR"/>
        </w:rPr>
        <w:t>Την 1/1/20Χ0 η παρούσα αξία των εισπράξεων από τοκομερίδια είναι :</w:t>
      </w:r>
    </w:p>
    <w:p w14:paraId="6987D835" w14:textId="77777777" w:rsidR="00166C6B" w:rsidRPr="00166C6B" w:rsidRDefault="00166C6B" w:rsidP="00166C6B">
      <w:pPr>
        <w:jc w:val="both"/>
        <w:rPr>
          <w:sz w:val="20"/>
          <w:szCs w:val="20"/>
          <w:lang w:val="el-GR"/>
        </w:rPr>
      </w:pPr>
      <w:r w:rsidRPr="00166C6B">
        <w:rPr>
          <w:b/>
          <w:lang w:val="el-GR"/>
        </w:rPr>
        <w:t xml:space="preserve">  </w:t>
      </w:r>
      <w:r w:rsidRPr="00166C6B">
        <w:rPr>
          <w:lang w:val="el-GR"/>
        </w:rPr>
        <w:t xml:space="preserve"> </w:t>
      </w:r>
      <m:oMath>
        <m:f>
          <m:fPr>
            <m:ctrlPr>
              <w:rPr>
                <w:rFonts w:ascii="Cambria Math" w:hAnsi="Cambria Math"/>
                <w:i/>
                <w:sz w:val="20"/>
                <w:szCs w:val="20"/>
              </w:rPr>
            </m:ctrlPr>
          </m:fPr>
          <m:num>
            <m:r>
              <w:rPr>
                <w:rFonts w:ascii="Cambria Math"/>
                <w:sz w:val="20"/>
                <w:szCs w:val="20"/>
              </w:rPr>
              <m:t>100.000X10%</m:t>
            </m:r>
          </m:num>
          <m:den>
            <m:r>
              <w:rPr>
                <w:rFonts w:ascii="Cambria Math"/>
                <w:sz w:val="20"/>
                <w:szCs w:val="20"/>
              </w:rPr>
              <m:t>(1+0,1)</m:t>
            </m:r>
          </m:den>
        </m:f>
        <m:r>
          <w:rPr>
            <w:rFonts w:ascii="Cambria Math"/>
            <w:sz w:val="20"/>
            <w:szCs w:val="20"/>
          </w:rPr>
          <m:t>+</m:t>
        </m:r>
        <m:f>
          <m:fPr>
            <m:ctrlPr>
              <w:rPr>
                <w:rFonts w:ascii="Cambria Math" w:hAnsi="Cambria Math"/>
                <w:i/>
                <w:sz w:val="20"/>
                <w:szCs w:val="20"/>
              </w:rPr>
            </m:ctrlPr>
          </m:fPr>
          <m:num>
            <m:r>
              <w:rPr>
                <w:rFonts w:ascii="Cambria Math"/>
                <w:sz w:val="20"/>
                <w:szCs w:val="20"/>
              </w:rPr>
              <m:t>100.000X10%</m:t>
            </m:r>
          </m:num>
          <m:den>
            <m:r>
              <w:rPr>
                <w:rFonts w:ascii="Cambria Math"/>
                <w:sz w:val="20"/>
                <w:szCs w:val="20"/>
              </w:rPr>
              <m:t>(1+0,1</m:t>
            </m:r>
            <m:sSup>
              <m:sSupPr>
                <m:ctrlPr>
                  <w:rPr>
                    <w:rFonts w:ascii="Cambria Math" w:hAnsi="Cambria Math"/>
                    <w:i/>
                    <w:sz w:val="20"/>
                    <w:szCs w:val="20"/>
                  </w:rPr>
                </m:ctrlPr>
              </m:sSupPr>
              <m:e>
                <m:r>
                  <w:rPr>
                    <w:rFonts w:ascii="Cambria Math"/>
                    <w:sz w:val="20"/>
                    <w:szCs w:val="20"/>
                  </w:rPr>
                  <m:t>)</m:t>
                </m:r>
              </m:e>
              <m:sup>
                <m:r>
                  <w:rPr>
                    <w:rFonts w:ascii="Cambria Math"/>
                    <w:sz w:val="20"/>
                    <w:szCs w:val="20"/>
                  </w:rPr>
                  <m:t>2</m:t>
                </m:r>
              </m:sup>
            </m:sSup>
          </m:den>
        </m:f>
        <m:r>
          <w:rPr>
            <w:rFonts w:ascii="Cambria Math"/>
            <w:sz w:val="20"/>
            <w:szCs w:val="20"/>
          </w:rPr>
          <m:t>+</m:t>
        </m:r>
        <m:f>
          <m:fPr>
            <m:ctrlPr>
              <w:rPr>
                <w:rFonts w:ascii="Cambria Math" w:hAnsi="Cambria Math"/>
                <w:i/>
                <w:sz w:val="20"/>
                <w:szCs w:val="20"/>
              </w:rPr>
            </m:ctrlPr>
          </m:fPr>
          <m:num>
            <m:r>
              <w:rPr>
                <w:rFonts w:ascii="Cambria Math"/>
                <w:sz w:val="20"/>
                <w:szCs w:val="20"/>
              </w:rPr>
              <m:t>100.000X10%</m:t>
            </m:r>
          </m:num>
          <m:den>
            <m:r>
              <w:rPr>
                <w:rFonts w:ascii="Cambria Math"/>
                <w:sz w:val="20"/>
                <w:szCs w:val="20"/>
              </w:rPr>
              <m:t>(1+0,1</m:t>
            </m:r>
            <m:sSup>
              <m:sSupPr>
                <m:ctrlPr>
                  <w:rPr>
                    <w:rFonts w:ascii="Cambria Math" w:hAnsi="Cambria Math"/>
                    <w:i/>
                    <w:sz w:val="20"/>
                    <w:szCs w:val="20"/>
                  </w:rPr>
                </m:ctrlPr>
              </m:sSupPr>
              <m:e>
                <m:r>
                  <w:rPr>
                    <w:rFonts w:ascii="Cambria Math"/>
                    <w:sz w:val="20"/>
                    <w:szCs w:val="20"/>
                  </w:rPr>
                  <m:t>)</m:t>
                </m:r>
              </m:e>
              <m:sup>
                <m:r>
                  <w:rPr>
                    <w:rFonts w:ascii="Cambria Math"/>
                    <w:sz w:val="20"/>
                    <w:szCs w:val="20"/>
                  </w:rPr>
                  <m:t>3</m:t>
                </m:r>
              </m:sup>
            </m:sSup>
          </m:den>
        </m:f>
        <m:r>
          <w:rPr>
            <w:rFonts w:ascii="Cambria Math"/>
            <w:sz w:val="20"/>
            <w:szCs w:val="20"/>
          </w:rPr>
          <m:t>+</m:t>
        </m:r>
        <m:f>
          <m:fPr>
            <m:ctrlPr>
              <w:rPr>
                <w:rFonts w:ascii="Cambria Math" w:hAnsi="Cambria Math"/>
                <w:i/>
                <w:sz w:val="20"/>
                <w:szCs w:val="20"/>
              </w:rPr>
            </m:ctrlPr>
          </m:fPr>
          <m:num>
            <m:r>
              <w:rPr>
                <w:rFonts w:ascii="Cambria Math"/>
                <w:sz w:val="20"/>
                <w:szCs w:val="20"/>
              </w:rPr>
              <m:t>100.000X10%</m:t>
            </m:r>
          </m:num>
          <m:den>
            <m:r>
              <w:rPr>
                <w:rFonts w:ascii="Cambria Math"/>
                <w:sz w:val="20"/>
                <w:szCs w:val="20"/>
              </w:rPr>
              <m:t>(1+0,1</m:t>
            </m:r>
            <m:sSup>
              <m:sSupPr>
                <m:ctrlPr>
                  <w:rPr>
                    <w:rFonts w:ascii="Cambria Math" w:hAnsi="Cambria Math"/>
                    <w:i/>
                    <w:sz w:val="20"/>
                    <w:szCs w:val="20"/>
                  </w:rPr>
                </m:ctrlPr>
              </m:sSupPr>
              <m:e>
                <m:r>
                  <w:rPr>
                    <w:rFonts w:ascii="Cambria Math"/>
                    <w:sz w:val="20"/>
                    <w:szCs w:val="20"/>
                  </w:rPr>
                  <m:t>)</m:t>
                </m:r>
              </m:e>
              <m:sup>
                <m:r>
                  <w:rPr>
                    <w:rFonts w:ascii="Cambria Math"/>
                    <w:sz w:val="20"/>
                    <w:szCs w:val="20"/>
                  </w:rPr>
                  <m:t>4</m:t>
                </m:r>
              </m:sup>
            </m:sSup>
          </m:den>
        </m:f>
        <m:r>
          <w:rPr>
            <w:rFonts w:ascii="Cambria Math"/>
            <w:sz w:val="20"/>
            <w:szCs w:val="20"/>
          </w:rPr>
          <m:t>+</m:t>
        </m:r>
        <m:f>
          <m:fPr>
            <m:ctrlPr>
              <w:rPr>
                <w:rFonts w:ascii="Cambria Math" w:hAnsi="Cambria Math"/>
                <w:i/>
                <w:sz w:val="20"/>
                <w:szCs w:val="20"/>
              </w:rPr>
            </m:ctrlPr>
          </m:fPr>
          <m:num>
            <m:r>
              <w:rPr>
                <w:rFonts w:ascii="Cambria Math"/>
                <w:sz w:val="20"/>
                <w:szCs w:val="20"/>
              </w:rPr>
              <m:t>100.000X10%</m:t>
            </m:r>
          </m:num>
          <m:den>
            <m:r>
              <w:rPr>
                <w:rFonts w:ascii="Cambria Math"/>
                <w:sz w:val="20"/>
                <w:szCs w:val="20"/>
              </w:rPr>
              <m:t>(1+0,1</m:t>
            </m:r>
            <m:sSup>
              <m:sSupPr>
                <m:ctrlPr>
                  <w:rPr>
                    <w:rFonts w:ascii="Cambria Math" w:hAnsi="Cambria Math"/>
                    <w:i/>
                    <w:sz w:val="20"/>
                    <w:szCs w:val="20"/>
                  </w:rPr>
                </m:ctrlPr>
              </m:sSupPr>
              <m:e>
                <m:r>
                  <w:rPr>
                    <w:rFonts w:ascii="Cambria Math"/>
                    <w:sz w:val="20"/>
                    <w:szCs w:val="20"/>
                  </w:rPr>
                  <m:t>)</m:t>
                </m:r>
              </m:e>
              <m:sup>
                <m:r>
                  <w:rPr>
                    <w:rFonts w:ascii="Cambria Math"/>
                    <w:sz w:val="20"/>
                    <w:szCs w:val="20"/>
                  </w:rPr>
                  <m:t>5</m:t>
                </m:r>
              </m:sup>
            </m:sSup>
          </m:den>
        </m:f>
        <m:r>
          <w:rPr>
            <w:rFonts w:ascii="Cambria Math"/>
            <w:sz w:val="20"/>
            <w:szCs w:val="20"/>
          </w:rPr>
          <m:t>=37.910</m:t>
        </m:r>
      </m:oMath>
    </w:p>
    <w:p w14:paraId="1B7E4CFC" w14:textId="77777777" w:rsidR="00166C6B" w:rsidRPr="00166C6B" w:rsidRDefault="00166C6B" w:rsidP="00166C6B">
      <w:pPr>
        <w:jc w:val="both"/>
        <w:rPr>
          <w:bCs/>
          <w:lang w:val="el-GR"/>
        </w:rPr>
      </w:pPr>
      <w:r w:rsidRPr="00166C6B">
        <w:rPr>
          <w:bCs/>
          <w:lang w:val="el-GR"/>
        </w:rPr>
        <w:t xml:space="preserve">Η παρούσα αξία της τιμής εξόφλησης της ομολογίας είναι:   </w:t>
      </w:r>
    </w:p>
    <w:p w14:paraId="575C3052" w14:textId="77777777" w:rsidR="00166C6B" w:rsidRPr="00166C6B" w:rsidRDefault="00166C6B" w:rsidP="00166C6B">
      <w:pPr>
        <w:jc w:val="both"/>
        <w:rPr>
          <w:b/>
          <w:bCs/>
          <w:lang w:val="el-GR"/>
        </w:rPr>
      </w:pPr>
      <w:r w:rsidRPr="00166C6B">
        <w:rPr>
          <w:bCs/>
          <w:lang w:val="el-GR"/>
        </w:rPr>
        <w:t xml:space="preserve">  </w:t>
      </w:r>
      <w:r w:rsidRPr="00166C6B">
        <w:rPr>
          <w:b/>
          <w:bCs/>
          <w:position w:val="-30"/>
          <w:lang w:val="el-GR"/>
        </w:rPr>
        <w:object w:dxaOrig="1820" w:dyaOrig="680" w14:anchorId="07D7E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1.5pt" o:ole="">
            <v:imagedata r:id="rId6" o:title=""/>
          </v:shape>
          <o:OLEObject Type="Embed" ProgID="Equation.3" ShapeID="_x0000_i1025" DrawAspect="Content" ObjectID="_1807508918" r:id="rId7"/>
        </w:object>
      </w:r>
    </w:p>
    <w:p w14:paraId="06B68C4A" w14:textId="77777777" w:rsidR="00004AD2" w:rsidRDefault="00166C6B" w:rsidP="00166C6B">
      <w:pPr>
        <w:rPr>
          <w:b/>
          <w:lang w:val="el-GR"/>
        </w:rPr>
      </w:pPr>
      <w:r w:rsidRPr="00166C6B">
        <w:rPr>
          <w:b/>
          <w:lang w:val="el-GR"/>
        </w:rPr>
        <w:t>Η τιμή αγοράς της ομολογίας  είναι : €37.910 + €62.090 = €100.000.</w:t>
      </w:r>
    </w:p>
    <w:p w14:paraId="2430A5D6" w14:textId="77777777" w:rsidR="00166C6B" w:rsidRDefault="00166C6B" w:rsidP="00166C6B">
      <w:pPr>
        <w:rPr>
          <w:b/>
          <w:lang w:val="el-GR"/>
        </w:rPr>
      </w:pPr>
    </w:p>
    <w:p w14:paraId="7956C9FF" w14:textId="77777777" w:rsidR="00166C6B" w:rsidRPr="00166C6B" w:rsidRDefault="00166C6B" w:rsidP="00166C6B">
      <w:pPr>
        <w:jc w:val="both"/>
        <w:rPr>
          <w:b/>
          <w:bCs/>
          <w:lang w:val="el-GR"/>
        </w:rPr>
      </w:pPr>
      <w:r w:rsidRPr="00166C6B">
        <w:rPr>
          <w:b/>
          <w:lang w:val="el-GR"/>
        </w:rPr>
        <w:t xml:space="preserve">Το ονομαστικό επιτόκιο της ομολογίας είναι χαμηλότερο από το ισχύον επιτόκιο της αγοράς         </w:t>
      </w:r>
    </w:p>
    <w:p w14:paraId="119031E0" w14:textId="77777777" w:rsidR="00166C6B" w:rsidRPr="00166C6B" w:rsidRDefault="00166C6B" w:rsidP="00166C6B">
      <w:pPr>
        <w:jc w:val="both"/>
        <w:rPr>
          <w:lang w:val="el-GR"/>
        </w:rPr>
      </w:pPr>
      <w:r w:rsidRPr="00166C6B">
        <w:rPr>
          <w:bCs/>
          <w:lang w:val="el-GR"/>
        </w:rPr>
        <w:t xml:space="preserve">Όταν το </w:t>
      </w:r>
      <w:r w:rsidRPr="00166C6B">
        <w:rPr>
          <w:lang w:val="el-GR"/>
        </w:rPr>
        <w:t xml:space="preserve">ονομαστικό επιτόκιο της ομολογίας είναι χαμηλότερο από το ισχύον επιτόκιο της αγοράς, η τιμή έκδοσης της ομολογίας είναι μικρότερη από την ονομαστική αξία της ομολογίας. Σε αυτή την περίπτωση η έκδοση της ομολογίας γίνεται </w:t>
      </w:r>
      <w:r w:rsidRPr="00166C6B">
        <w:rPr>
          <w:b/>
          <w:lang w:val="el-GR"/>
        </w:rPr>
        <w:t>υπό το άρτιο</w:t>
      </w:r>
      <w:r w:rsidRPr="00166C6B">
        <w:rPr>
          <w:lang w:val="el-GR"/>
        </w:rPr>
        <w:t xml:space="preserve">. </w:t>
      </w:r>
    </w:p>
    <w:p w14:paraId="63D62A20" w14:textId="77777777" w:rsidR="00166C6B" w:rsidRPr="00166C6B" w:rsidRDefault="00166C6B" w:rsidP="00166C6B">
      <w:pPr>
        <w:jc w:val="both"/>
        <w:rPr>
          <w:b/>
          <w:lang w:val="el-GR"/>
        </w:rPr>
      </w:pPr>
    </w:p>
    <w:p w14:paraId="2A1AFFF8" w14:textId="77777777" w:rsidR="00166C6B" w:rsidRPr="00166C6B" w:rsidRDefault="00166C6B" w:rsidP="00166C6B">
      <w:pPr>
        <w:jc w:val="both"/>
        <w:rPr>
          <w:b/>
          <w:bCs/>
          <w:lang w:val="el-GR"/>
        </w:rPr>
      </w:pPr>
      <w:r w:rsidRPr="00166C6B">
        <w:rPr>
          <w:b/>
          <w:lang w:val="el-GR"/>
        </w:rPr>
        <w:t>Παράδειγμα 7</w:t>
      </w:r>
      <w:r w:rsidRPr="00166C6B">
        <w:rPr>
          <w:b/>
          <w:bCs/>
          <w:lang w:val="el-GR"/>
        </w:rPr>
        <w:t xml:space="preserve">  </w:t>
      </w:r>
    </w:p>
    <w:p w14:paraId="68DA879C" w14:textId="77777777" w:rsidR="00166C6B" w:rsidRPr="00166C6B" w:rsidRDefault="00166C6B" w:rsidP="00166C6B">
      <w:pPr>
        <w:jc w:val="both"/>
        <w:rPr>
          <w:bCs/>
          <w:lang w:val="el-GR"/>
        </w:rPr>
      </w:pPr>
      <w:r w:rsidRPr="00166C6B">
        <w:rPr>
          <w:bCs/>
          <w:lang w:val="el-GR"/>
        </w:rPr>
        <w:t>Έστω τα δεδομένα του παραδείγματος 8.6 με τη διαφορά ότι το ισχύον επιτόκιο της αγοράς για ομόλογα</w:t>
      </w:r>
      <w:r w:rsidRPr="00166C6B">
        <w:rPr>
          <w:lang w:val="el-GR"/>
        </w:rPr>
        <w:t xml:space="preserve"> με παρόμοια χαρακτηριστικά ε</w:t>
      </w:r>
      <w:r w:rsidRPr="00166C6B">
        <w:rPr>
          <w:bCs/>
          <w:lang w:val="el-GR"/>
        </w:rPr>
        <w:t xml:space="preserve">ίναι 12 %. Οι ομολογίες που εξέδωσε η «ΑΒ ΑΕ» πρέπει να προσφέρουν στην «ΜΤ ΑΕ» απόδοση 12 %.  Διαφορετικά η «ΜΤ ΑΕ» δεν έχει κίνητρο να επενδύσει σε αυτές τις ομολογίες.  Ωστόσο,  η ονομαστική απόδοση αυτών των ομολογιών είναι 10 %. Για να επιτευχθεί απόδοση 12 % πρέπει να μεταβληθούν οι όροι έκδοσης της ομολογίας. Το τοκομερίδιο και η ονομαστική αξία της ομολογίας δεν είναι εύκολο να τροποποιηθούν. Προκειμένου να επιτευχθεί η απαιτούμενη απόδοση πρέπει να προσαρμοστεί η τιμή έκδοσης/αγοράς της ομολογίας.   </w:t>
      </w:r>
    </w:p>
    <w:p w14:paraId="2291668E" w14:textId="77777777" w:rsidR="00166C6B" w:rsidRPr="00166C6B" w:rsidRDefault="00166C6B" w:rsidP="00166C6B">
      <w:pPr>
        <w:jc w:val="both"/>
        <w:rPr>
          <w:bCs/>
          <w:lang w:val="el-GR"/>
        </w:rPr>
      </w:pPr>
      <w:r w:rsidRPr="00166C6B">
        <w:rPr>
          <w:bCs/>
          <w:lang w:val="el-GR"/>
        </w:rPr>
        <w:t>Την 1/1/20Χ0 η παρούσα αξία των εισπράξεων από τοκομερίδια είναι :</w:t>
      </w:r>
    </w:p>
    <w:p w14:paraId="3F182B3B" w14:textId="77777777" w:rsidR="00166C6B" w:rsidRPr="00166C6B" w:rsidRDefault="00166C6B" w:rsidP="00166C6B">
      <w:pPr>
        <w:jc w:val="both"/>
        <w:rPr>
          <w:lang w:val="el-GR"/>
        </w:rPr>
      </w:pPr>
      <w:r w:rsidRPr="00166C6B">
        <w:rPr>
          <w:b/>
          <w:lang w:val="el-GR"/>
        </w:rPr>
        <w:lastRenderedPageBreak/>
        <w:t xml:space="preserve">  </w:t>
      </w:r>
      <w:r w:rsidRPr="00166C6B">
        <w:rPr>
          <w:lang w:val="el-GR"/>
        </w:rPr>
        <w:t xml:space="preserve"> </w:t>
      </w:r>
      <m:oMath>
        <m:f>
          <m:fPr>
            <m:ctrlPr>
              <w:rPr>
                <w:rFonts w:ascii="Cambria Math" w:hAnsi="Cambria Math"/>
                <w:i/>
              </w:rPr>
            </m:ctrlPr>
          </m:fPr>
          <m:num>
            <m:r>
              <w:rPr>
                <w:rFonts w:ascii="Cambria Math"/>
              </w:rPr>
              <m:t>100.000X10%</m:t>
            </m:r>
          </m:num>
          <m:den>
            <m:r>
              <w:rPr>
                <w:rFonts w:ascii="Cambria Math"/>
              </w:rPr>
              <m:t>(1+0,12)</m:t>
            </m:r>
          </m:den>
        </m:f>
        <m:r>
          <w:rPr>
            <w:rFonts w:ascii="Cambria Math"/>
          </w:rPr>
          <m:t>+</m:t>
        </m:r>
        <m:f>
          <m:fPr>
            <m:ctrlPr>
              <w:rPr>
                <w:rFonts w:ascii="Cambria Math" w:hAnsi="Cambria Math"/>
                <w:i/>
              </w:rPr>
            </m:ctrlPr>
          </m:fPr>
          <m:num>
            <m:r>
              <w:rPr>
                <w:rFonts w:ascii="Cambria Math"/>
              </w:rPr>
              <m:t>100.000X10%</m:t>
            </m:r>
          </m:num>
          <m:den>
            <m:r>
              <w:rPr>
                <w:rFonts w:ascii="Cambria Math"/>
              </w:rPr>
              <m:t>(1+0,12</m:t>
            </m:r>
            <m:sSup>
              <m:sSupPr>
                <m:ctrlPr>
                  <w:rPr>
                    <w:rFonts w:ascii="Cambria Math" w:hAnsi="Cambria Math"/>
                    <w:i/>
                  </w:rPr>
                </m:ctrlPr>
              </m:sSupPr>
              <m:e>
                <m:r>
                  <w:rPr>
                    <w:rFonts w:ascii="Cambria Math"/>
                  </w:rPr>
                  <m:t>)</m:t>
                </m:r>
              </m:e>
              <m:sup>
                <m:r>
                  <w:rPr>
                    <w:rFonts w:ascii="Cambria Math"/>
                  </w:rPr>
                  <m:t>2</m:t>
                </m:r>
              </m:sup>
            </m:sSup>
          </m:den>
        </m:f>
        <m:r>
          <w:rPr>
            <w:rFonts w:ascii="Cambria Math"/>
          </w:rPr>
          <m:t>+</m:t>
        </m:r>
        <m:f>
          <m:fPr>
            <m:ctrlPr>
              <w:rPr>
                <w:rFonts w:ascii="Cambria Math" w:hAnsi="Cambria Math"/>
                <w:i/>
              </w:rPr>
            </m:ctrlPr>
          </m:fPr>
          <m:num>
            <m:r>
              <w:rPr>
                <w:rFonts w:ascii="Cambria Math"/>
              </w:rPr>
              <m:t>100.000X10%</m:t>
            </m:r>
          </m:num>
          <m:den>
            <m:r>
              <w:rPr>
                <w:rFonts w:ascii="Cambria Math"/>
              </w:rPr>
              <m:t>(1+0,12</m:t>
            </m:r>
            <m:sSup>
              <m:sSupPr>
                <m:ctrlPr>
                  <w:rPr>
                    <w:rFonts w:ascii="Cambria Math" w:hAnsi="Cambria Math"/>
                    <w:i/>
                  </w:rPr>
                </m:ctrlPr>
              </m:sSupPr>
              <m:e>
                <m:r>
                  <w:rPr>
                    <w:rFonts w:ascii="Cambria Math"/>
                  </w:rPr>
                  <m:t>)</m:t>
                </m:r>
              </m:e>
              <m:sup>
                <m:r>
                  <w:rPr>
                    <w:rFonts w:ascii="Cambria Math"/>
                  </w:rPr>
                  <m:t>3</m:t>
                </m:r>
              </m:sup>
            </m:sSup>
          </m:den>
        </m:f>
        <m:r>
          <w:rPr>
            <w:rFonts w:ascii="Cambria Math"/>
          </w:rPr>
          <m:t>+</m:t>
        </m:r>
        <m:f>
          <m:fPr>
            <m:ctrlPr>
              <w:rPr>
                <w:rFonts w:ascii="Cambria Math" w:hAnsi="Cambria Math"/>
                <w:i/>
              </w:rPr>
            </m:ctrlPr>
          </m:fPr>
          <m:num>
            <m:r>
              <w:rPr>
                <w:rFonts w:ascii="Cambria Math"/>
              </w:rPr>
              <m:t>100.000X10%</m:t>
            </m:r>
          </m:num>
          <m:den>
            <m:r>
              <w:rPr>
                <w:rFonts w:ascii="Cambria Math"/>
              </w:rPr>
              <m:t>(1+0,12</m:t>
            </m:r>
            <m:sSup>
              <m:sSupPr>
                <m:ctrlPr>
                  <w:rPr>
                    <w:rFonts w:ascii="Cambria Math" w:hAnsi="Cambria Math"/>
                    <w:i/>
                  </w:rPr>
                </m:ctrlPr>
              </m:sSupPr>
              <m:e>
                <m:r>
                  <w:rPr>
                    <w:rFonts w:ascii="Cambria Math"/>
                  </w:rPr>
                  <m:t>)</m:t>
                </m:r>
              </m:e>
              <m:sup>
                <m:r>
                  <w:rPr>
                    <w:rFonts w:ascii="Cambria Math"/>
                  </w:rPr>
                  <m:t>4</m:t>
                </m:r>
              </m:sup>
            </m:sSup>
          </m:den>
        </m:f>
        <m:r>
          <w:rPr>
            <w:rFonts w:ascii="Cambria Math"/>
          </w:rPr>
          <m:t>+</m:t>
        </m:r>
        <m:f>
          <m:fPr>
            <m:ctrlPr>
              <w:rPr>
                <w:rFonts w:ascii="Cambria Math" w:hAnsi="Cambria Math"/>
                <w:i/>
              </w:rPr>
            </m:ctrlPr>
          </m:fPr>
          <m:num>
            <m:r>
              <w:rPr>
                <w:rFonts w:ascii="Cambria Math"/>
              </w:rPr>
              <m:t>100.000X10%</m:t>
            </m:r>
          </m:num>
          <m:den>
            <m:r>
              <w:rPr>
                <w:rFonts w:ascii="Cambria Math"/>
              </w:rPr>
              <m:t>(1+0,12</m:t>
            </m:r>
            <m:sSup>
              <m:sSupPr>
                <m:ctrlPr>
                  <w:rPr>
                    <w:rFonts w:ascii="Cambria Math" w:hAnsi="Cambria Math"/>
                    <w:i/>
                  </w:rPr>
                </m:ctrlPr>
              </m:sSupPr>
              <m:e>
                <m:r>
                  <w:rPr>
                    <w:rFonts w:ascii="Cambria Math"/>
                  </w:rPr>
                  <m:t>)</m:t>
                </m:r>
              </m:e>
              <m:sup>
                <m:r>
                  <w:rPr>
                    <w:rFonts w:ascii="Cambria Math"/>
                  </w:rPr>
                  <m:t>5</m:t>
                </m:r>
              </m:sup>
            </m:sSup>
          </m:den>
        </m:f>
        <m:r>
          <w:rPr>
            <w:rFonts w:ascii="Cambria Math"/>
          </w:rPr>
          <m:t>=36.048</m:t>
        </m:r>
      </m:oMath>
    </w:p>
    <w:p w14:paraId="1D3F4184" w14:textId="77777777" w:rsidR="00166C6B" w:rsidRPr="00166C6B" w:rsidRDefault="00166C6B" w:rsidP="00166C6B">
      <w:pPr>
        <w:jc w:val="both"/>
        <w:rPr>
          <w:bCs/>
          <w:lang w:val="el-GR"/>
        </w:rPr>
      </w:pPr>
      <w:r w:rsidRPr="00166C6B">
        <w:rPr>
          <w:bCs/>
          <w:lang w:val="el-GR"/>
        </w:rPr>
        <w:t xml:space="preserve">Η παρούσα αξία της τιμής εξόφλησης της ομολογίας είναι:   </w:t>
      </w:r>
    </w:p>
    <w:p w14:paraId="1EC11895" w14:textId="77777777" w:rsidR="00166C6B" w:rsidRPr="00166C6B" w:rsidRDefault="00166C6B" w:rsidP="00166C6B">
      <w:pPr>
        <w:jc w:val="both"/>
        <w:rPr>
          <w:b/>
          <w:bCs/>
          <w:lang w:val="el-GR"/>
        </w:rPr>
      </w:pPr>
      <w:r w:rsidRPr="00166C6B">
        <w:rPr>
          <w:bCs/>
          <w:lang w:val="el-GR"/>
        </w:rPr>
        <w:t xml:space="preserve">  </w:t>
      </w:r>
      <w:r w:rsidRPr="00166C6B">
        <w:rPr>
          <w:b/>
          <w:bCs/>
          <w:position w:val="-30"/>
          <w:lang w:val="el-GR"/>
        </w:rPr>
        <w:object w:dxaOrig="1960" w:dyaOrig="680" w14:anchorId="009E5036">
          <v:shape id="_x0000_i1026" type="#_x0000_t75" style="width:90.75pt;height:31.5pt" o:ole="">
            <v:imagedata r:id="rId8" o:title=""/>
          </v:shape>
          <o:OLEObject Type="Embed" ProgID="Equation.3" ShapeID="_x0000_i1026" DrawAspect="Content" ObjectID="_1807508919" r:id="rId9"/>
        </w:object>
      </w:r>
    </w:p>
    <w:p w14:paraId="70D8C55F" w14:textId="77777777" w:rsidR="00166C6B" w:rsidRPr="00166C6B" w:rsidRDefault="00166C6B" w:rsidP="00166C6B">
      <w:pPr>
        <w:jc w:val="both"/>
        <w:rPr>
          <w:bCs/>
          <w:lang w:val="el-GR"/>
        </w:rPr>
      </w:pPr>
    </w:p>
    <w:p w14:paraId="4718C506" w14:textId="77777777" w:rsidR="00166C6B" w:rsidRDefault="00166C6B" w:rsidP="00166C6B">
      <w:pPr>
        <w:rPr>
          <w:b/>
          <w:lang w:val="el-GR"/>
        </w:rPr>
      </w:pPr>
      <w:r w:rsidRPr="00166C6B">
        <w:rPr>
          <w:b/>
          <w:lang w:val="el-GR"/>
        </w:rPr>
        <w:t xml:space="preserve"> Η τιμή έκδοσης/αγοράς της ομολογίας  είναι : €36.048 + €56.740 = €92.788. </w:t>
      </w:r>
    </w:p>
    <w:p w14:paraId="1C4B463B" w14:textId="77777777" w:rsidR="00166C6B" w:rsidRDefault="00166C6B" w:rsidP="00166C6B">
      <w:pPr>
        <w:jc w:val="both"/>
        <w:rPr>
          <w:bCs/>
          <w:i/>
          <w:lang w:val="el-GR"/>
        </w:rPr>
      </w:pPr>
    </w:p>
    <w:p w14:paraId="0ED2111D" w14:textId="77777777" w:rsidR="00166C6B" w:rsidRPr="00166C6B" w:rsidRDefault="00166C6B" w:rsidP="00166C6B">
      <w:pPr>
        <w:jc w:val="both"/>
        <w:rPr>
          <w:bCs/>
          <w:i/>
          <w:lang w:val="el-GR"/>
        </w:rPr>
      </w:pPr>
      <w:r w:rsidRPr="00166C6B">
        <w:rPr>
          <w:bCs/>
          <w:i/>
          <w:lang w:val="el-GR"/>
        </w:rPr>
        <w:t xml:space="preserve">Μέθοδος του πραγματικού (ή αποτελεσματικού) επιτοκίου </w:t>
      </w:r>
    </w:p>
    <w:p w14:paraId="2BE74A8C" w14:textId="77777777" w:rsidR="00166C6B" w:rsidRPr="00166C6B" w:rsidRDefault="00166C6B" w:rsidP="00166C6B">
      <w:pPr>
        <w:jc w:val="both"/>
        <w:rPr>
          <w:bCs/>
          <w:lang w:val="el-GR"/>
        </w:rPr>
      </w:pPr>
      <w:r w:rsidRPr="00166C6B">
        <w:rPr>
          <w:bCs/>
          <w:lang w:val="el-GR"/>
        </w:rPr>
        <w:t>Σύμφωνα με αυτή τη μέθοδο τα έσοδα από την ομολογία προσδιορίζονται πολλαπλασιάζοντας τη λογιστική αξία της ομολογίας με το πραγματικό επιτόκιο της ομολογίας. Η διαφορά μεταξύ του πραγματικού εσόδου από την ομολογία σε κάθε χρήση και του ποσού του τοκομεριδίου χρησιμοποιείται για την κατανομή της υπό το άρτιο διαφοράς. Για τον προσδιορισμό του πραγματικού εσόδου από την επένδυση στην ομολογία και της λογιστικής αξίας της ομολογίας πρέπει να καταρτιστεί ο ακόλουθος πίνακας:</w:t>
      </w:r>
    </w:p>
    <w:p w14:paraId="63239B7F" w14:textId="77777777" w:rsidR="00166C6B" w:rsidRPr="00166C6B" w:rsidRDefault="00166C6B" w:rsidP="00166C6B">
      <w:pPr>
        <w:jc w:val="both"/>
        <w:rPr>
          <w:b/>
          <w:bCs/>
          <w:lang w:val="el-GR"/>
        </w:rPr>
      </w:pPr>
    </w:p>
    <w:p w14:paraId="681151A4" w14:textId="77777777" w:rsidR="00166C6B" w:rsidRPr="00166C6B" w:rsidRDefault="00166C6B" w:rsidP="00166C6B">
      <w:pPr>
        <w:jc w:val="both"/>
        <w:rPr>
          <w:b/>
          <w:bCs/>
          <w:sz w:val="20"/>
          <w:szCs w:val="20"/>
          <w:lang w:val="el-GR"/>
        </w:rPr>
      </w:pPr>
      <w:r w:rsidRPr="00166C6B">
        <w:rPr>
          <w:b/>
          <w:bCs/>
          <w:sz w:val="20"/>
          <w:szCs w:val="20"/>
          <w:lang w:val="el-GR"/>
        </w:rPr>
        <w:t xml:space="preserve">Πίνακας απόσβεσης επένδυσης σε ομολογίες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440"/>
        <w:gridCol w:w="1080"/>
        <w:gridCol w:w="1440"/>
        <w:gridCol w:w="1260"/>
        <w:gridCol w:w="1080"/>
      </w:tblGrid>
      <w:tr w:rsidR="00166C6B" w:rsidRPr="00166C6B" w14:paraId="4485B97F" w14:textId="77777777" w:rsidTr="00AD26CF">
        <w:tc>
          <w:tcPr>
            <w:tcW w:w="1188" w:type="dxa"/>
            <w:shd w:val="clear" w:color="auto" w:fill="auto"/>
          </w:tcPr>
          <w:p w14:paraId="7B76001A" w14:textId="2A4F7334" w:rsidR="00166C6B" w:rsidRPr="000D65C6" w:rsidRDefault="000D65C6" w:rsidP="00166C6B">
            <w:pPr>
              <w:jc w:val="center"/>
              <w:rPr>
                <w:bCs/>
                <w:sz w:val="20"/>
                <w:szCs w:val="20"/>
                <w:lang w:val="el-GR"/>
              </w:rPr>
            </w:pPr>
            <w:r>
              <w:rPr>
                <w:bCs/>
                <w:sz w:val="20"/>
                <w:szCs w:val="20"/>
                <w:lang w:val="el-GR"/>
              </w:rPr>
              <w:t xml:space="preserve">Έτος </w:t>
            </w:r>
          </w:p>
        </w:tc>
        <w:tc>
          <w:tcPr>
            <w:tcW w:w="1260" w:type="dxa"/>
            <w:shd w:val="clear" w:color="auto" w:fill="auto"/>
          </w:tcPr>
          <w:p w14:paraId="78EEEB7D" w14:textId="77777777" w:rsidR="00166C6B" w:rsidRPr="00166C6B" w:rsidRDefault="00166C6B" w:rsidP="00166C6B">
            <w:pPr>
              <w:jc w:val="center"/>
              <w:rPr>
                <w:bCs/>
                <w:sz w:val="20"/>
                <w:szCs w:val="20"/>
                <w:lang w:val="el-GR"/>
              </w:rPr>
            </w:pPr>
            <w:r w:rsidRPr="00166C6B">
              <w:rPr>
                <w:bCs/>
                <w:sz w:val="20"/>
                <w:szCs w:val="20"/>
                <w:lang w:val="el-GR"/>
              </w:rPr>
              <w:t>(1)</w:t>
            </w:r>
          </w:p>
          <w:p w14:paraId="00CD18F8" w14:textId="17A6AA4E" w:rsidR="00166C6B" w:rsidRPr="00166C6B" w:rsidRDefault="00391490" w:rsidP="00166C6B">
            <w:pPr>
              <w:jc w:val="center"/>
              <w:rPr>
                <w:bCs/>
                <w:sz w:val="20"/>
                <w:szCs w:val="20"/>
                <w:lang w:val="el-GR"/>
              </w:rPr>
            </w:pPr>
            <w:r>
              <w:rPr>
                <w:bCs/>
                <w:sz w:val="20"/>
                <w:szCs w:val="20"/>
                <w:lang w:val="el-GR"/>
              </w:rPr>
              <w:t xml:space="preserve">Λογιστική αξία ομολόγων </w:t>
            </w:r>
            <w:r w:rsidR="000D65C6">
              <w:rPr>
                <w:bCs/>
                <w:sz w:val="20"/>
                <w:szCs w:val="20"/>
                <w:lang w:val="el-GR"/>
              </w:rPr>
              <w:t>αρχής χρήσης</w:t>
            </w:r>
          </w:p>
        </w:tc>
        <w:tc>
          <w:tcPr>
            <w:tcW w:w="1440" w:type="dxa"/>
            <w:shd w:val="clear" w:color="auto" w:fill="auto"/>
          </w:tcPr>
          <w:p w14:paraId="57438DA0" w14:textId="77777777" w:rsidR="00166C6B" w:rsidRPr="00166C6B" w:rsidRDefault="00166C6B" w:rsidP="00166C6B">
            <w:pPr>
              <w:jc w:val="center"/>
              <w:rPr>
                <w:bCs/>
                <w:sz w:val="20"/>
                <w:szCs w:val="20"/>
                <w:lang w:val="el-GR"/>
              </w:rPr>
            </w:pPr>
            <w:r w:rsidRPr="00166C6B">
              <w:rPr>
                <w:bCs/>
                <w:sz w:val="20"/>
                <w:szCs w:val="20"/>
                <w:lang w:val="el-GR"/>
              </w:rPr>
              <w:t>(2)</w:t>
            </w:r>
          </w:p>
          <w:p w14:paraId="559D216B" w14:textId="77777777" w:rsidR="00166C6B" w:rsidRPr="00166C6B" w:rsidRDefault="00166C6B" w:rsidP="00166C6B">
            <w:pPr>
              <w:jc w:val="center"/>
              <w:rPr>
                <w:bCs/>
                <w:sz w:val="20"/>
                <w:szCs w:val="20"/>
                <w:lang w:val="el-GR"/>
              </w:rPr>
            </w:pPr>
            <w:r w:rsidRPr="00166C6B">
              <w:rPr>
                <w:bCs/>
                <w:sz w:val="20"/>
                <w:szCs w:val="20"/>
                <w:lang w:val="el-GR"/>
              </w:rPr>
              <w:t>Πραγματικό</w:t>
            </w:r>
          </w:p>
          <w:p w14:paraId="0817F990" w14:textId="77777777" w:rsidR="00166C6B" w:rsidRPr="00166C6B" w:rsidRDefault="00166C6B" w:rsidP="00166C6B">
            <w:pPr>
              <w:jc w:val="center"/>
              <w:rPr>
                <w:bCs/>
                <w:sz w:val="20"/>
                <w:szCs w:val="20"/>
                <w:lang w:val="el-GR"/>
              </w:rPr>
            </w:pPr>
            <w:r w:rsidRPr="00166C6B">
              <w:rPr>
                <w:bCs/>
                <w:sz w:val="20"/>
                <w:szCs w:val="20"/>
                <w:lang w:val="el-GR"/>
              </w:rPr>
              <w:t>Έσοδο(12%)*</w:t>
            </w:r>
          </w:p>
        </w:tc>
        <w:tc>
          <w:tcPr>
            <w:tcW w:w="1080" w:type="dxa"/>
            <w:shd w:val="clear" w:color="auto" w:fill="auto"/>
          </w:tcPr>
          <w:p w14:paraId="1ACDCE2D" w14:textId="77777777" w:rsidR="00166C6B" w:rsidRPr="00166C6B" w:rsidRDefault="00166C6B" w:rsidP="00166C6B">
            <w:pPr>
              <w:jc w:val="center"/>
              <w:rPr>
                <w:bCs/>
                <w:sz w:val="20"/>
                <w:szCs w:val="20"/>
                <w:lang w:val="el-GR"/>
              </w:rPr>
            </w:pPr>
            <w:r w:rsidRPr="00166C6B">
              <w:rPr>
                <w:bCs/>
                <w:sz w:val="20"/>
                <w:szCs w:val="20"/>
                <w:lang w:val="el-GR"/>
              </w:rPr>
              <w:t>(3)</w:t>
            </w:r>
          </w:p>
          <w:p w14:paraId="0244E01D" w14:textId="6D35C064" w:rsidR="00166C6B" w:rsidRPr="00166C6B" w:rsidRDefault="00391490" w:rsidP="00166C6B">
            <w:pPr>
              <w:jc w:val="center"/>
              <w:rPr>
                <w:bCs/>
                <w:sz w:val="20"/>
                <w:szCs w:val="20"/>
                <w:lang w:val="el-GR"/>
              </w:rPr>
            </w:pPr>
            <w:r>
              <w:rPr>
                <w:bCs/>
                <w:sz w:val="20"/>
                <w:szCs w:val="20"/>
                <w:lang w:val="el-GR"/>
              </w:rPr>
              <w:t>(1)+(3)</w:t>
            </w:r>
          </w:p>
        </w:tc>
        <w:tc>
          <w:tcPr>
            <w:tcW w:w="1440" w:type="dxa"/>
            <w:shd w:val="clear" w:color="auto" w:fill="auto"/>
          </w:tcPr>
          <w:p w14:paraId="27566A97" w14:textId="77777777" w:rsidR="00166C6B" w:rsidRPr="00166C6B" w:rsidRDefault="00166C6B" w:rsidP="00166C6B">
            <w:pPr>
              <w:jc w:val="center"/>
              <w:rPr>
                <w:bCs/>
                <w:sz w:val="20"/>
                <w:szCs w:val="20"/>
                <w:lang w:val="el-GR"/>
              </w:rPr>
            </w:pPr>
            <w:r w:rsidRPr="00166C6B">
              <w:rPr>
                <w:bCs/>
                <w:sz w:val="20"/>
                <w:szCs w:val="20"/>
                <w:lang w:val="el-GR"/>
              </w:rPr>
              <w:t>(4)</w:t>
            </w:r>
          </w:p>
          <w:p w14:paraId="3943E339" w14:textId="11FC9B5F" w:rsidR="00166C6B" w:rsidRPr="00166C6B" w:rsidRDefault="00166C6B" w:rsidP="00166C6B">
            <w:pPr>
              <w:jc w:val="center"/>
              <w:rPr>
                <w:bCs/>
                <w:sz w:val="20"/>
                <w:szCs w:val="20"/>
                <w:lang w:val="el-GR"/>
              </w:rPr>
            </w:pPr>
          </w:p>
          <w:p w14:paraId="7C70CD4E" w14:textId="71ECC958" w:rsidR="00166C6B" w:rsidRPr="00166C6B" w:rsidRDefault="00391490" w:rsidP="00166C6B">
            <w:pPr>
              <w:jc w:val="center"/>
              <w:rPr>
                <w:bCs/>
                <w:sz w:val="20"/>
                <w:szCs w:val="20"/>
                <w:lang w:val="el-GR"/>
              </w:rPr>
            </w:pPr>
            <w:r>
              <w:rPr>
                <w:bCs/>
                <w:sz w:val="20"/>
                <w:szCs w:val="20"/>
                <w:lang w:val="el-GR"/>
              </w:rPr>
              <w:t xml:space="preserve">Ετήσια πληρωμή </w:t>
            </w:r>
          </w:p>
          <w:p w14:paraId="0E81341B" w14:textId="77777777" w:rsidR="00166C6B" w:rsidRPr="00166C6B" w:rsidRDefault="00166C6B" w:rsidP="00166C6B">
            <w:pPr>
              <w:jc w:val="center"/>
              <w:rPr>
                <w:bCs/>
                <w:sz w:val="20"/>
                <w:szCs w:val="20"/>
                <w:lang w:val="el-GR"/>
              </w:rPr>
            </w:pPr>
          </w:p>
          <w:p w14:paraId="0DB8B293" w14:textId="5712F3E2" w:rsidR="00166C6B" w:rsidRPr="00166C6B" w:rsidRDefault="00166C6B" w:rsidP="00166C6B">
            <w:pPr>
              <w:jc w:val="center"/>
              <w:rPr>
                <w:bCs/>
                <w:sz w:val="20"/>
                <w:szCs w:val="20"/>
                <w:lang w:val="el-GR"/>
              </w:rPr>
            </w:pPr>
          </w:p>
        </w:tc>
        <w:tc>
          <w:tcPr>
            <w:tcW w:w="1260" w:type="dxa"/>
            <w:shd w:val="clear" w:color="auto" w:fill="auto"/>
          </w:tcPr>
          <w:p w14:paraId="01A75ED0" w14:textId="77777777" w:rsidR="00166C6B" w:rsidRPr="00166C6B" w:rsidRDefault="00166C6B" w:rsidP="00166C6B">
            <w:pPr>
              <w:jc w:val="center"/>
              <w:rPr>
                <w:bCs/>
                <w:sz w:val="20"/>
                <w:szCs w:val="20"/>
                <w:lang w:val="el-GR"/>
              </w:rPr>
            </w:pPr>
            <w:r w:rsidRPr="00166C6B">
              <w:rPr>
                <w:bCs/>
                <w:sz w:val="20"/>
                <w:szCs w:val="20"/>
                <w:lang w:val="el-GR"/>
              </w:rPr>
              <w:t>(5)</w:t>
            </w:r>
          </w:p>
          <w:p w14:paraId="0CED07E4" w14:textId="77777777" w:rsidR="00166C6B" w:rsidRPr="00166C6B" w:rsidRDefault="00166C6B" w:rsidP="00166C6B">
            <w:pPr>
              <w:jc w:val="center"/>
              <w:rPr>
                <w:bCs/>
                <w:sz w:val="20"/>
                <w:szCs w:val="20"/>
                <w:lang w:val="el-GR"/>
              </w:rPr>
            </w:pPr>
            <w:r w:rsidRPr="00166C6B">
              <w:rPr>
                <w:bCs/>
                <w:sz w:val="20"/>
                <w:szCs w:val="20"/>
                <w:lang w:val="el-GR"/>
              </w:rPr>
              <w:t>Λογιστική</w:t>
            </w:r>
          </w:p>
          <w:p w14:paraId="7C545D63" w14:textId="77777777" w:rsidR="00166C6B" w:rsidRDefault="00166C6B" w:rsidP="00166C6B">
            <w:pPr>
              <w:jc w:val="center"/>
              <w:rPr>
                <w:bCs/>
                <w:sz w:val="20"/>
                <w:szCs w:val="20"/>
                <w:lang w:val="el-GR"/>
              </w:rPr>
            </w:pPr>
            <w:r w:rsidRPr="00166C6B">
              <w:rPr>
                <w:bCs/>
                <w:sz w:val="20"/>
                <w:szCs w:val="20"/>
                <w:lang w:val="el-GR"/>
              </w:rPr>
              <w:t>Αξία Ομολόγων</w:t>
            </w:r>
          </w:p>
          <w:p w14:paraId="10E8EC07" w14:textId="4F98EB3A" w:rsidR="00391490" w:rsidRPr="00166C6B" w:rsidRDefault="00391490" w:rsidP="00166C6B">
            <w:pPr>
              <w:jc w:val="center"/>
              <w:rPr>
                <w:bCs/>
                <w:sz w:val="20"/>
                <w:szCs w:val="20"/>
                <w:lang w:val="el-GR"/>
              </w:rPr>
            </w:pPr>
            <w:r>
              <w:rPr>
                <w:bCs/>
                <w:sz w:val="20"/>
                <w:szCs w:val="20"/>
                <w:lang w:val="el-GR"/>
              </w:rPr>
              <w:t xml:space="preserve">Τέλους  χρήσης </w:t>
            </w:r>
          </w:p>
          <w:p w14:paraId="4B8FA712" w14:textId="77777777" w:rsidR="00166C6B" w:rsidRPr="00166C6B" w:rsidRDefault="00166C6B" w:rsidP="00166C6B">
            <w:pPr>
              <w:jc w:val="center"/>
              <w:rPr>
                <w:bCs/>
                <w:sz w:val="20"/>
                <w:szCs w:val="20"/>
                <w:lang w:val="el-GR"/>
              </w:rPr>
            </w:pPr>
          </w:p>
          <w:p w14:paraId="610948C2" w14:textId="16641626" w:rsidR="00166C6B" w:rsidRPr="00166C6B" w:rsidRDefault="00166C6B" w:rsidP="00166C6B">
            <w:pPr>
              <w:jc w:val="center"/>
              <w:rPr>
                <w:bCs/>
                <w:sz w:val="20"/>
                <w:szCs w:val="20"/>
                <w:lang w:val="el-GR"/>
              </w:rPr>
            </w:pPr>
            <w:r w:rsidRPr="00166C6B">
              <w:rPr>
                <w:bCs/>
                <w:sz w:val="20"/>
                <w:szCs w:val="20"/>
                <w:lang w:val="el-GR"/>
              </w:rPr>
              <w:t>(</w:t>
            </w:r>
            <w:r w:rsidR="00391490">
              <w:rPr>
                <w:bCs/>
                <w:sz w:val="20"/>
                <w:szCs w:val="20"/>
                <w:lang w:val="el-GR"/>
              </w:rPr>
              <w:t>3-4</w:t>
            </w:r>
            <w:r w:rsidRPr="00166C6B">
              <w:rPr>
                <w:bCs/>
                <w:sz w:val="20"/>
                <w:szCs w:val="20"/>
                <w:lang w:val="el-GR"/>
              </w:rPr>
              <w:t>)</w:t>
            </w:r>
          </w:p>
        </w:tc>
        <w:tc>
          <w:tcPr>
            <w:tcW w:w="1080" w:type="dxa"/>
            <w:shd w:val="clear" w:color="auto" w:fill="auto"/>
          </w:tcPr>
          <w:p w14:paraId="3C3937E8" w14:textId="77777777" w:rsidR="00166C6B" w:rsidRPr="00166C6B" w:rsidRDefault="00166C6B" w:rsidP="00166C6B">
            <w:pPr>
              <w:jc w:val="center"/>
              <w:rPr>
                <w:bCs/>
                <w:sz w:val="20"/>
                <w:szCs w:val="20"/>
                <w:lang w:val="el-GR"/>
              </w:rPr>
            </w:pPr>
            <w:r w:rsidRPr="00166C6B">
              <w:rPr>
                <w:bCs/>
                <w:sz w:val="20"/>
                <w:szCs w:val="20"/>
                <w:lang w:val="el-GR"/>
              </w:rPr>
              <w:t>(6)</w:t>
            </w:r>
          </w:p>
          <w:p w14:paraId="7A229BAA" w14:textId="77777777" w:rsidR="00166C6B" w:rsidRPr="00166C6B" w:rsidRDefault="00166C6B" w:rsidP="00166C6B">
            <w:pPr>
              <w:jc w:val="center"/>
              <w:rPr>
                <w:bCs/>
                <w:sz w:val="20"/>
                <w:szCs w:val="20"/>
                <w:lang w:val="el-GR"/>
              </w:rPr>
            </w:pPr>
            <w:r w:rsidRPr="00166C6B">
              <w:rPr>
                <w:bCs/>
                <w:sz w:val="20"/>
                <w:szCs w:val="20"/>
                <w:lang w:val="el-GR"/>
              </w:rPr>
              <w:t>Απόδοση επένδυσης</w:t>
            </w:r>
          </w:p>
          <w:p w14:paraId="1CBAC78A" w14:textId="77777777" w:rsidR="00166C6B" w:rsidRPr="00166C6B" w:rsidRDefault="00166C6B" w:rsidP="00166C6B">
            <w:pPr>
              <w:rPr>
                <w:bCs/>
                <w:sz w:val="20"/>
                <w:szCs w:val="20"/>
                <w:lang w:val="el-GR"/>
              </w:rPr>
            </w:pPr>
          </w:p>
        </w:tc>
      </w:tr>
      <w:tr w:rsidR="00391490" w:rsidRPr="00391490" w14:paraId="146657C3" w14:textId="77777777" w:rsidTr="009D173C">
        <w:tc>
          <w:tcPr>
            <w:tcW w:w="1188" w:type="dxa"/>
            <w:shd w:val="clear" w:color="auto" w:fill="auto"/>
          </w:tcPr>
          <w:p w14:paraId="592A1819" w14:textId="7777777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1/1/20Χ0</w:t>
            </w:r>
          </w:p>
        </w:tc>
        <w:tc>
          <w:tcPr>
            <w:tcW w:w="1260" w:type="dxa"/>
            <w:shd w:val="clear" w:color="auto" w:fill="auto"/>
          </w:tcPr>
          <w:p w14:paraId="3EEB648D" w14:textId="44D7E05E"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(€)92.788</w:t>
            </w:r>
          </w:p>
        </w:tc>
        <w:tc>
          <w:tcPr>
            <w:tcW w:w="1440" w:type="dxa"/>
            <w:shd w:val="clear" w:color="auto" w:fill="auto"/>
          </w:tcPr>
          <w:p w14:paraId="677D5D85" w14:textId="624CCB79"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 11.135</w:t>
            </w:r>
          </w:p>
        </w:tc>
        <w:tc>
          <w:tcPr>
            <w:tcW w:w="1080" w:type="dxa"/>
            <w:tcBorders>
              <w:top w:val="nil"/>
              <w:left w:val="nil"/>
              <w:bottom w:val="nil"/>
              <w:right w:val="nil"/>
            </w:tcBorders>
            <w:shd w:val="clear" w:color="auto" w:fill="auto"/>
            <w:vAlign w:val="bottom"/>
          </w:tcPr>
          <w:p w14:paraId="4F79B186" w14:textId="05C72DDE"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103.923</w:t>
            </w:r>
          </w:p>
        </w:tc>
        <w:tc>
          <w:tcPr>
            <w:tcW w:w="1440" w:type="dxa"/>
            <w:shd w:val="clear" w:color="auto" w:fill="auto"/>
          </w:tcPr>
          <w:p w14:paraId="0A9C4557" w14:textId="5743926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(€)10.000</w:t>
            </w:r>
          </w:p>
        </w:tc>
        <w:tc>
          <w:tcPr>
            <w:tcW w:w="1260" w:type="dxa"/>
            <w:tcBorders>
              <w:top w:val="nil"/>
              <w:left w:val="nil"/>
              <w:bottom w:val="nil"/>
              <w:right w:val="nil"/>
            </w:tcBorders>
            <w:shd w:val="clear" w:color="auto" w:fill="auto"/>
            <w:vAlign w:val="bottom"/>
          </w:tcPr>
          <w:p w14:paraId="281CBE0C" w14:textId="2775268F"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93.923</w:t>
            </w:r>
          </w:p>
        </w:tc>
        <w:tc>
          <w:tcPr>
            <w:tcW w:w="1080" w:type="dxa"/>
            <w:shd w:val="clear" w:color="auto" w:fill="auto"/>
          </w:tcPr>
          <w:p w14:paraId="71B3A8F9" w14:textId="7DE1A5C5"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12 %**</w:t>
            </w:r>
          </w:p>
        </w:tc>
      </w:tr>
      <w:tr w:rsidR="00391490" w:rsidRPr="00391490" w14:paraId="7BF36FF2" w14:textId="77777777" w:rsidTr="009D173C">
        <w:tc>
          <w:tcPr>
            <w:tcW w:w="1188" w:type="dxa"/>
            <w:shd w:val="clear" w:color="auto" w:fill="auto"/>
          </w:tcPr>
          <w:p w14:paraId="35419EB2" w14:textId="1A3205A6" w:rsidR="00391490" w:rsidRPr="00391490" w:rsidRDefault="00391490" w:rsidP="00391490">
            <w:pPr>
              <w:ind w:right="14"/>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31/12/20Χ</w:t>
            </w:r>
            <w:r>
              <w:rPr>
                <w:rFonts w:asciiTheme="minorHAnsi" w:hAnsiTheme="minorHAnsi" w:cstheme="minorHAnsi"/>
                <w:bCs/>
                <w:sz w:val="18"/>
                <w:szCs w:val="18"/>
                <w:lang w:val="el-GR"/>
              </w:rPr>
              <w:t>1</w:t>
            </w:r>
          </w:p>
        </w:tc>
        <w:tc>
          <w:tcPr>
            <w:tcW w:w="1260" w:type="dxa"/>
            <w:shd w:val="clear" w:color="auto" w:fill="auto"/>
          </w:tcPr>
          <w:p w14:paraId="3171D7C0" w14:textId="28C74DD1"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93.923</w:t>
            </w:r>
          </w:p>
        </w:tc>
        <w:tc>
          <w:tcPr>
            <w:tcW w:w="1440" w:type="dxa"/>
            <w:shd w:val="clear" w:color="auto" w:fill="auto"/>
          </w:tcPr>
          <w:p w14:paraId="776EA65B" w14:textId="3726CBE1"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11.271</w:t>
            </w:r>
          </w:p>
        </w:tc>
        <w:tc>
          <w:tcPr>
            <w:tcW w:w="1080" w:type="dxa"/>
            <w:tcBorders>
              <w:top w:val="nil"/>
              <w:left w:val="nil"/>
              <w:bottom w:val="nil"/>
              <w:right w:val="nil"/>
            </w:tcBorders>
            <w:shd w:val="clear" w:color="auto" w:fill="auto"/>
            <w:vAlign w:val="bottom"/>
          </w:tcPr>
          <w:p w14:paraId="6AF0E771" w14:textId="45375C3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105.193</w:t>
            </w:r>
          </w:p>
        </w:tc>
        <w:tc>
          <w:tcPr>
            <w:tcW w:w="1440" w:type="dxa"/>
            <w:shd w:val="clear" w:color="auto" w:fill="auto"/>
          </w:tcPr>
          <w:p w14:paraId="36EBD9F4" w14:textId="56545BCC"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10.000</w:t>
            </w:r>
          </w:p>
        </w:tc>
        <w:tc>
          <w:tcPr>
            <w:tcW w:w="1260" w:type="dxa"/>
            <w:tcBorders>
              <w:top w:val="nil"/>
              <w:left w:val="nil"/>
              <w:bottom w:val="nil"/>
              <w:right w:val="nil"/>
            </w:tcBorders>
            <w:shd w:val="clear" w:color="auto" w:fill="auto"/>
            <w:vAlign w:val="bottom"/>
          </w:tcPr>
          <w:p w14:paraId="111541E1" w14:textId="54551410"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95.193</w:t>
            </w:r>
          </w:p>
        </w:tc>
        <w:tc>
          <w:tcPr>
            <w:tcW w:w="1080" w:type="dxa"/>
            <w:shd w:val="clear" w:color="auto" w:fill="auto"/>
          </w:tcPr>
          <w:p w14:paraId="778D1F37" w14:textId="54A17784"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12 %</w:t>
            </w:r>
          </w:p>
        </w:tc>
      </w:tr>
      <w:tr w:rsidR="00391490" w:rsidRPr="00391490" w14:paraId="30C0767E" w14:textId="77777777" w:rsidTr="009D173C">
        <w:tc>
          <w:tcPr>
            <w:tcW w:w="1188" w:type="dxa"/>
            <w:shd w:val="clear" w:color="auto" w:fill="auto"/>
          </w:tcPr>
          <w:p w14:paraId="451A9791" w14:textId="49267576"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31/12/20Χ</w:t>
            </w:r>
            <w:r>
              <w:rPr>
                <w:rFonts w:asciiTheme="minorHAnsi" w:hAnsiTheme="minorHAnsi" w:cstheme="minorHAnsi"/>
                <w:bCs/>
                <w:sz w:val="18"/>
                <w:szCs w:val="18"/>
                <w:lang w:val="el-GR"/>
              </w:rPr>
              <w:t>2</w:t>
            </w:r>
          </w:p>
        </w:tc>
        <w:tc>
          <w:tcPr>
            <w:tcW w:w="1260" w:type="dxa"/>
            <w:shd w:val="clear" w:color="auto" w:fill="auto"/>
          </w:tcPr>
          <w:p w14:paraId="28356ADF" w14:textId="01011256"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95.194</w:t>
            </w:r>
          </w:p>
        </w:tc>
        <w:tc>
          <w:tcPr>
            <w:tcW w:w="1440" w:type="dxa"/>
            <w:shd w:val="clear" w:color="auto" w:fill="auto"/>
          </w:tcPr>
          <w:p w14:paraId="2451B4A5" w14:textId="6668584B"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11.423</w:t>
            </w:r>
          </w:p>
        </w:tc>
        <w:tc>
          <w:tcPr>
            <w:tcW w:w="1080" w:type="dxa"/>
            <w:tcBorders>
              <w:top w:val="nil"/>
              <w:left w:val="nil"/>
              <w:bottom w:val="nil"/>
              <w:right w:val="nil"/>
            </w:tcBorders>
            <w:shd w:val="clear" w:color="auto" w:fill="auto"/>
            <w:vAlign w:val="bottom"/>
          </w:tcPr>
          <w:p w14:paraId="6D8BEA4A" w14:textId="77D9772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106.616</w:t>
            </w:r>
          </w:p>
        </w:tc>
        <w:tc>
          <w:tcPr>
            <w:tcW w:w="1440" w:type="dxa"/>
            <w:shd w:val="clear" w:color="auto" w:fill="auto"/>
          </w:tcPr>
          <w:p w14:paraId="2BA81C9C" w14:textId="7D528DE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10.000</w:t>
            </w:r>
          </w:p>
        </w:tc>
        <w:tc>
          <w:tcPr>
            <w:tcW w:w="1260" w:type="dxa"/>
            <w:tcBorders>
              <w:top w:val="nil"/>
              <w:left w:val="nil"/>
              <w:bottom w:val="nil"/>
              <w:right w:val="nil"/>
            </w:tcBorders>
            <w:shd w:val="clear" w:color="auto" w:fill="auto"/>
            <w:vAlign w:val="bottom"/>
          </w:tcPr>
          <w:p w14:paraId="6B5E4CBC" w14:textId="5EEF9B07"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96.616</w:t>
            </w:r>
          </w:p>
        </w:tc>
        <w:tc>
          <w:tcPr>
            <w:tcW w:w="1080" w:type="dxa"/>
            <w:shd w:val="clear" w:color="auto" w:fill="auto"/>
          </w:tcPr>
          <w:p w14:paraId="1BB2ADC1" w14:textId="5172F405"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12 %</w:t>
            </w:r>
          </w:p>
        </w:tc>
      </w:tr>
      <w:tr w:rsidR="00391490" w:rsidRPr="00391490" w14:paraId="082BE10E" w14:textId="77777777" w:rsidTr="009D173C">
        <w:tc>
          <w:tcPr>
            <w:tcW w:w="1188" w:type="dxa"/>
            <w:shd w:val="clear" w:color="auto" w:fill="auto"/>
          </w:tcPr>
          <w:p w14:paraId="628E8E26" w14:textId="1C417395"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31/12/20Χ</w:t>
            </w:r>
            <w:r>
              <w:rPr>
                <w:rFonts w:asciiTheme="minorHAnsi" w:hAnsiTheme="minorHAnsi" w:cstheme="minorHAnsi"/>
                <w:bCs/>
                <w:sz w:val="18"/>
                <w:szCs w:val="18"/>
                <w:lang w:val="el-GR"/>
              </w:rPr>
              <w:t>3</w:t>
            </w:r>
          </w:p>
        </w:tc>
        <w:tc>
          <w:tcPr>
            <w:tcW w:w="1260" w:type="dxa"/>
            <w:shd w:val="clear" w:color="auto" w:fill="auto"/>
          </w:tcPr>
          <w:p w14:paraId="11F0217F" w14:textId="212924B1"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96.617</w:t>
            </w:r>
          </w:p>
        </w:tc>
        <w:tc>
          <w:tcPr>
            <w:tcW w:w="1440" w:type="dxa"/>
            <w:shd w:val="clear" w:color="auto" w:fill="auto"/>
          </w:tcPr>
          <w:p w14:paraId="4441C8DF" w14:textId="4C10221E"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11.594</w:t>
            </w:r>
          </w:p>
        </w:tc>
        <w:tc>
          <w:tcPr>
            <w:tcW w:w="1080" w:type="dxa"/>
            <w:tcBorders>
              <w:top w:val="nil"/>
              <w:left w:val="nil"/>
              <w:bottom w:val="nil"/>
              <w:right w:val="nil"/>
            </w:tcBorders>
            <w:shd w:val="clear" w:color="auto" w:fill="auto"/>
            <w:vAlign w:val="bottom"/>
          </w:tcPr>
          <w:p w14:paraId="2AC3F4A5" w14:textId="6CBD16D1"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108.210</w:t>
            </w:r>
          </w:p>
        </w:tc>
        <w:tc>
          <w:tcPr>
            <w:tcW w:w="1440" w:type="dxa"/>
            <w:shd w:val="clear" w:color="auto" w:fill="auto"/>
          </w:tcPr>
          <w:p w14:paraId="3A8D2B6B" w14:textId="631ACD3A"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10.000</w:t>
            </w:r>
          </w:p>
        </w:tc>
        <w:tc>
          <w:tcPr>
            <w:tcW w:w="1260" w:type="dxa"/>
            <w:tcBorders>
              <w:top w:val="nil"/>
              <w:left w:val="nil"/>
              <w:bottom w:val="nil"/>
              <w:right w:val="nil"/>
            </w:tcBorders>
            <w:shd w:val="clear" w:color="auto" w:fill="auto"/>
            <w:vAlign w:val="bottom"/>
          </w:tcPr>
          <w:p w14:paraId="54C77AAA" w14:textId="291B46FE"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98.210</w:t>
            </w:r>
          </w:p>
        </w:tc>
        <w:tc>
          <w:tcPr>
            <w:tcW w:w="1080" w:type="dxa"/>
            <w:shd w:val="clear" w:color="auto" w:fill="auto"/>
          </w:tcPr>
          <w:p w14:paraId="03B9C0F3" w14:textId="42084154"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12 %</w:t>
            </w:r>
          </w:p>
        </w:tc>
      </w:tr>
      <w:tr w:rsidR="00391490" w:rsidRPr="00391490" w14:paraId="3BCC91E9" w14:textId="77777777" w:rsidTr="009D173C">
        <w:tc>
          <w:tcPr>
            <w:tcW w:w="1188" w:type="dxa"/>
            <w:shd w:val="clear" w:color="auto" w:fill="auto"/>
          </w:tcPr>
          <w:p w14:paraId="16658119" w14:textId="7BC9B898"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31/12/20Χ</w:t>
            </w:r>
            <w:r>
              <w:rPr>
                <w:rFonts w:asciiTheme="minorHAnsi" w:hAnsiTheme="minorHAnsi" w:cstheme="minorHAnsi"/>
                <w:bCs/>
                <w:sz w:val="18"/>
                <w:szCs w:val="18"/>
                <w:lang w:val="el-GR"/>
              </w:rPr>
              <w:t>4</w:t>
            </w:r>
          </w:p>
        </w:tc>
        <w:tc>
          <w:tcPr>
            <w:tcW w:w="1260" w:type="dxa"/>
            <w:shd w:val="clear" w:color="auto" w:fill="auto"/>
          </w:tcPr>
          <w:p w14:paraId="4F165999" w14:textId="42715DAA"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98.210</w:t>
            </w:r>
          </w:p>
        </w:tc>
        <w:tc>
          <w:tcPr>
            <w:tcW w:w="1440" w:type="dxa"/>
            <w:shd w:val="clear" w:color="auto" w:fill="auto"/>
          </w:tcPr>
          <w:p w14:paraId="2778214B" w14:textId="21F9AFD1"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11.790</w:t>
            </w:r>
          </w:p>
        </w:tc>
        <w:tc>
          <w:tcPr>
            <w:tcW w:w="1080" w:type="dxa"/>
            <w:tcBorders>
              <w:top w:val="nil"/>
              <w:left w:val="nil"/>
              <w:bottom w:val="nil"/>
              <w:right w:val="nil"/>
            </w:tcBorders>
            <w:shd w:val="clear" w:color="auto" w:fill="auto"/>
            <w:vAlign w:val="bottom"/>
          </w:tcPr>
          <w:p w14:paraId="46A20480" w14:textId="2D212F50"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color w:val="000000"/>
                <w:sz w:val="18"/>
                <w:szCs w:val="18"/>
              </w:rPr>
              <w:t>109.995</w:t>
            </w:r>
          </w:p>
        </w:tc>
        <w:tc>
          <w:tcPr>
            <w:tcW w:w="1440" w:type="dxa"/>
            <w:shd w:val="clear" w:color="auto" w:fill="auto"/>
          </w:tcPr>
          <w:p w14:paraId="50937C90" w14:textId="358E9D85"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1</w:t>
            </w:r>
            <w:r w:rsidRPr="00391490">
              <w:rPr>
                <w:rFonts w:asciiTheme="minorHAnsi" w:hAnsiTheme="minorHAnsi" w:cstheme="minorHAnsi"/>
                <w:bCs/>
                <w:sz w:val="18"/>
                <w:szCs w:val="18"/>
                <w:lang w:val="el-GR"/>
              </w:rPr>
              <w:t>10.000</w:t>
            </w:r>
          </w:p>
        </w:tc>
        <w:tc>
          <w:tcPr>
            <w:tcW w:w="1260" w:type="dxa"/>
            <w:tcBorders>
              <w:top w:val="nil"/>
              <w:left w:val="nil"/>
              <w:bottom w:val="nil"/>
              <w:right w:val="nil"/>
            </w:tcBorders>
            <w:shd w:val="clear" w:color="auto" w:fill="auto"/>
            <w:vAlign w:val="bottom"/>
          </w:tcPr>
          <w:p w14:paraId="451E86E4" w14:textId="043D762B" w:rsidR="00391490" w:rsidRPr="00391490" w:rsidRDefault="00391490" w:rsidP="00391490">
            <w:pPr>
              <w:jc w:val="center"/>
              <w:rPr>
                <w:rFonts w:asciiTheme="minorHAnsi" w:hAnsiTheme="minorHAnsi" w:cstheme="minorHAnsi"/>
                <w:bCs/>
                <w:sz w:val="18"/>
                <w:szCs w:val="18"/>
                <w:lang w:val="el-GR"/>
              </w:rPr>
            </w:pPr>
            <w:r w:rsidRPr="00391490">
              <w:rPr>
                <w:rFonts w:asciiTheme="minorHAnsi" w:hAnsiTheme="minorHAnsi" w:cstheme="minorHAnsi"/>
                <w:bCs/>
                <w:sz w:val="18"/>
                <w:szCs w:val="18"/>
                <w:lang w:val="el-GR"/>
              </w:rPr>
              <w:t>-</w:t>
            </w:r>
          </w:p>
        </w:tc>
        <w:tc>
          <w:tcPr>
            <w:tcW w:w="1080" w:type="dxa"/>
            <w:shd w:val="clear" w:color="auto" w:fill="auto"/>
          </w:tcPr>
          <w:p w14:paraId="3F29A5DB" w14:textId="34451114" w:rsidR="00391490" w:rsidRPr="00391490" w:rsidRDefault="00391490" w:rsidP="00391490">
            <w:pPr>
              <w:jc w:val="center"/>
              <w:rPr>
                <w:rFonts w:asciiTheme="minorHAnsi" w:hAnsiTheme="minorHAnsi" w:cstheme="minorHAnsi"/>
                <w:bCs/>
                <w:sz w:val="18"/>
                <w:szCs w:val="18"/>
                <w:lang w:val="el-GR"/>
              </w:rPr>
            </w:pPr>
          </w:p>
        </w:tc>
      </w:tr>
      <w:tr w:rsidR="00391490" w:rsidRPr="00391490" w14:paraId="70E458CE" w14:textId="77777777" w:rsidTr="00AD26CF">
        <w:tc>
          <w:tcPr>
            <w:tcW w:w="1188" w:type="dxa"/>
            <w:shd w:val="clear" w:color="auto" w:fill="auto"/>
          </w:tcPr>
          <w:p w14:paraId="320658D5" w14:textId="54F86E30" w:rsidR="00391490" w:rsidRPr="00391490" w:rsidRDefault="00391490" w:rsidP="00391490">
            <w:pPr>
              <w:jc w:val="center"/>
              <w:rPr>
                <w:rFonts w:asciiTheme="minorHAnsi" w:hAnsiTheme="minorHAnsi" w:cstheme="minorHAnsi"/>
                <w:bCs/>
                <w:sz w:val="18"/>
                <w:szCs w:val="18"/>
                <w:lang w:val="el-GR"/>
              </w:rPr>
            </w:pPr>
          </w:p>
        </w:tc>
        <w:tc>
          <w:tcPr>
            <w:tcW w:w="1260" w:type="dxa"/>
            <w:shd w:val="clear" w:color="auto" w:fill="auto"/>
          </w:tcPr>
          <w:p w14:paraId="388ABE45" w14:textId="2D5E669B" w:rsidR="00391490" w:rsidRPr="00391490" w:rsidRDefault="00391490" w:rsidP="00391490">
            <w:pPr>
              <w:jc w:val="center"/>
              <w:rPr>
                <w:rFonts w:asciiTheme="minorHAnsi" w:hAnsiTheme="minorHAnsi" w:cstheme="minorHAnsi"/>
                <w:bCs/>
                <w:sz w:val="18"/>
                <w:szCs w:val="18"/>
                <w:lang w:val="el-GR"/>
              </w:rPr>
            </w:pPr>
          </w:p>
        </w:tc>
        <w:tc>
          <w:tcPr>
            <w:tcW w:w="1440" w:type="dxa"/>
            <w:shd w:val="clear" w:color="auto" w:fill="auto"/>
          </w:tcPr>
          <w:p w14:paraId="3DB21D35" w14:textId="028E7792" w:rsidR="00391490" w:rsidRPr="00391490" w:rsidRDefault="00391490" w:rsidP="00391490">
            <w:pPr>
              <w:jc w:val="center"/>
              <w:rPr>
                <w:rFonts w:asciiTheme="minorHAnsi" w:hAnsiTheme="minorHAnsi" w:cstheme="minorHAnsi"/>
                <w:bCs/>
                <w:sz w:val="18"/>
                <w:szCs w:val="18"/>
                <w:lang w:val="el-GR"/>
              </w:rPr>
            </w:pPr>
          </w:p>
        </w:tc>
        <w:tc>
          <w:tcPr>
            <w:tcW w:w="1080" w:type="dxa"/>
            <w:shd w:val="clear" w:color="auto" w:fill="auto"/>
          </w:tcPr>
          <w:p w14:paraId="7517404F" w14:textId="2CFEE189" w:rsidR="00391490" w:rsidRPr="00391490" w:rsidRDefault="00391490" w:rsidP="00391490">
            <w:pPr>
              <w:jc w:val="center"/>
              <w:rPr>
                <w:rFonts w:asciiTheme="minorHAnsi" w:hAnsiTheme="minorHAnsi" w:cstheme="minorHAnsi"/>
                <w:bCs/>
                <w:sz w:val="18"/>
                <w:szCs w:val="18"/>
                <w:lang w:val="el-GR"/>
              </w:rPr>
            </w:pPr>
          </w:p>
        </w:tc>
        <w:tc>
          <w:tcPr>
            <w:tcW w:w="1440" w:type="dxa"/>
            <w:shd w:val="clear" w:color="auto" w:fill="auto"/>
          </w:tcPr>
          <w:p w14:paraId="180B1089" w14:textId="3B50E5CF" w:rsidR="00391490" w:rsidRPr="00391490" w:rsidRDefault="00391490" w:rsidP="00391490">
            <w:pPr>
              <w:jc w:val="center"/>
              <w:rPr>
                <w:rFonts w:asciiTheme="minorHAnsi" w:hAnsiTheme="minorHAnsi" w:cstheme="minorHAnsi"/>
                <w:bCs/>
                <w:sz w:val="18"/>
                <w:szCs w:val="18"/>
                <w:lang w:val="el-GR"/>
              </w:rPr>
            </w:pPr>
          </w:p>
        </w:tc>
        <w:tc>
          <w:tcPr>
            <w:tcW w:w="1260" w:type="dxa"/>
            <w:shd w:val="clear" w:color="auto" w:fill="auto"/>
          </w:tcPr>
          <w:p w14:paraId="7B8618BB" w14:textId="2AA69D97" w:rsidR="00391490" w:rsidRPr="00391490" w:rsidRDefault="00391490" w:rsidP="00391490">
            <w:pPr>
              <w:jc w:val="center"/>
              <w:rPr>
                <w:rFonts w:asciiTheme="minorHAnsi" w:hAnsiTheme="minorHAnsi" w:cstheme="minorHAnsi"/>
                <w:bCs/>
                <w:sz w:val="18"/>
                <w:szCs w:val="18"/>
                <w:lang w:val="el-GR"/>
              </w:rPr>
            </w:pPr>
          </w:p>
        </w:tc>
        <w:tc>
          <w:tcPr>
            <w:tcW w:w="1080" w:type="dxa"/>
            <w:shd w:val="clear" w:color="auto" w:fill="auto"/>
          </w:tcPr>
          <w:p w14:paraId="626FAA47" w14:textId="04BB9097" w:rsidR="00391490" w:rsidRPr="00391490" w:rsidRDefault="00391490" w:rsidP="00391490">
            <w:pPr>
              <w:jc w:val="center"/>
              <w:rPr>
                <w:rFonts w:asciiTheme="minorHAnsi" w:hAnsiTheme="minorHAnsi" w:cstheme="minorHAnsi"/>
                <w:bCs/>
                <w:sz w:val="18"/>
                <w:szCs w:val="18"/>
                <w:lang w:val="el-GR"/>
              </w:rPr>
            </w:pPr>
          </w:p>
        </w:tc>
      </w:tr>
      <w:tr w:rsidR="00391490" w:rsidRPr="00166C6B" w14:paraId="23989BB6" w14:textId="77777777" w:rsidTr="00AD26CF">
        <w:tc>
          <w:tcPr>
            <w:tcW w:w="1188" w:type="dxa"/>
            <w:shd w:val="clear" w:color="auto" w:fill="auto"/>
          </w:tcPr>
          <w:p w14:paraId="032FD013" w14:textId="77777777" w:rsidR="00391490" w:rsidRPr="00166C6B" w:rsidRDefault="00391490" w:rsidP="00391490">
            <w:pPr>
              <w:jc w:val="both"/>
              <w:rPr>
                <w:bCs/>
                <w:sz w:val="20"/>
                <w:szCs w:val="20"/>
                <w:lang w:val="el-GR"/>
              </w:rPr>
            </w:pPr>
          </w:p>
        </w:tc>
        <w:tc>
          <w:tcPr>
            <w:tcW w:w="1260" w:type="dxa"/>
            <w:shd w:val="clear" w:color="auto" w:fill="auto"/>
          </w:tcPr>
          <w:p w14:paraId="5C4E187B" w14:textId="77777777" w:rsidR="00391490" w:rsidRPr="00166C6B" w:rsidRDefault="00391490" w:rsidP="00391490">
            <w:pPr>
              <w:jc w:val="center"/>
              <w:rPr>
                <w:bCs/>
                <w:sz w:val="20"/>
                <w:szCs w:val="20"/>
                <w:lang w:val="el-GR"/>
              </w:rPr>
            </w:pPr>
          </w:p>
        </w:tc>
        <w:tc>
          <w:tcPr>
            <w:tcW w:w="1440" w:type="dxa"/>
            <w:shd w:val="clear" w:color="auto" w:fill="auto"/>
          </w:tcPr>
          <w:p w14:paraId="3B0E0DA3" w14:textId="210BA703" w:rsidR="00391490" w:rsidRPr="00166C6B" w:rsidRDefault="00391490" w:rsidP="00391490">
            <w:pPr>
              <w:jc w:val="center"/>
              <w:rPr>
                <w:bCs/>
                <w:sz w:val="20"/>
                <w:szCs w:val="20"/>
                <w:lang w:val="el-GR"/>
              </w:rPr>
            </w:pPr>
          </w:p>
        </w:tc>
        <w:tc>
          <w:tcPr>
            <w:tcW w:w="1080" w:type="dxa"/>
            <w:shd w:val="clear" w:color="auto" w:fill="auto"/>
          </w:tcPr>
          <w:p w14:paraId="252E06B9" w14:textId="59A81A74" w:rsidR="00391490" w:rsidRPr="00166C6B" w:rsidRDefault="00391490" w:rsidP="00391490">
            <w:pPr>
              <w:jc w:val="center"/>
              <w:rPr>
                <w:bCs/>
                <w:sz w:val="20"/>
                <w:szCs w:val="20"/>
                <w:lang w:val="el-GR"/>
              </w:rPr>
            </w:pPr>
          </w:p>
        </w:tc>
        <w:tc>
          <w:tcPr>
            <w:tcW w:w="1440" w:type="dxa"/>
            <w:shd w:val="clear" w:color="auto" w:fill="auto"/>
          </w:tcPr>
          <w:p w14:paraId="71C4BF3F" w14:textId="77777777" w:rsidR="00391490" w:rsidRPr="00166C6B" w:rsidRDefault="00391490" w:rsidP="00391490">
            <w:pPr>
              <w:jc w:val="center"/>
              <w:rPr>
                <w:bCs/>
                <w:sz w:val="20"/>
                <w:szCs w:val="20"/>
                <w:lang w:val="el-GR"/>
              </w:rPr>
            </w:pPr>
          </w:p>
        </w:tc>
        <w:tc>
          <w:tcPr>
            <w:tcW w:w="1260" w:type="dxa"/>
            <w:shd w:val="clear" w:color="auto" w:fill="auto"/>
          </w:tcPr>
          <w:p w14:paraId="23E9BE23" w14:textId="77777777" w:rsidR="00391490" w:rsidRPr="00166C6B" w:rsidRDefault="00391490" w:rsidP="00391490">
            <w:pPr>
              <w:jc w:val="center"/>
              <w:rPr>
                <w:bCs/>
                <w:sz w:val="20"/>
                <w:szCs w:val="20"/>
                <w:lang w:val="el-GR"/>
              </w:rPr>
            </w:pPr>
          </w:p>
        </w:tc>
        <w:tc>
          <w:tcPr>
            <w:tcW w:w="1080" w:type="dxa"/>
            <w:shd w:val="clear" w:color="auto" w:fill="auto"/>
          </w:tcPr>
          <w:p w14:paraId="59300E12" w14:textId="77777777" w:rsidR="00391490" w:rsidRPr="00166C6B" w:rsidRDefault="00391490" w:rsidP="00391490">
            <w:pPr>
              <w:jc w:val="center"/>
              <w:rPr>
                <w:bCs/>
                <w:sz w:val="20"/>
                <w:szCs w:val="20"/>
                <w:lang w:val="el-GR"/>
              </w:rPr>
            </w:pPr>
          </w:p>
        </w:tc>
      </w:tr>
    </w:tbl>
    <w:p w14:paraId="309A606C" w14:textId="77777777" w:rsidR="00166C6B" w:rsidRPr="00166C6B" w:rsidRDefault="00166C6B" w:rsidP="00166C6B">
      <w:pPr>
        <w:jc w:val="both"/>
        <w:rPr>
          <w:bCs/>
          <w:sz w:val="20"/>
          <w:szCs w:val="20"/>
          <w:lang w:val="el-GR"/>
        </w:rPr>
      </w:pPr>
      <w:r w:rsidRPr="00166C6B">
        <w:rPr>
          <w:bCs/>
          <w:sz w:val="20"/>
          <w:szCs w:val="20"/>
          <w:lang w:val="el-GR"/>
        </w:rPr>
        <w:t xml:space="preserve">* Λογιστική αξία στην αρχή της χρήσης </w:t>
      </w:r>
      <w:r w:rsidRPr="00166C6B">
        <w:rPr>
          <w:bCs/>
          <w:sz w:val="20"/>
          <w:szCs w:val="20"/>
          <w:lang w:val="en-US"/>
        </w:rPr>
        <w:t>x</w:t>
      </w:r>
      <w:r w:rsidRPr="00166C6B">
        <w:rPr>
          <w:bCs/>
          <w:sz w:val="20"/>
          <w:szCs w:val="20"/>
          <w:lang w:val="el-GR"/>
        </w:rPr>
        <w:t xml:space="preserve"> πραγματικό επιτόκιο</w:t>
      </w:r>
    </w:p>
    <w:p w14:paraId="2D71D7C4" w14:textId="77777777" w:rsidR="00166C6B" w:rsidRPr="00166C6B" w:rsidRDefault="00166C6B" w:rsidP="00166C6B">
      <w:pPr>
        <w:jc w:val="both"/>
        <w:rPr>
          <w:bCs/>
          <w:sz w:val="20"/>
          <w:szCs w:val="20"/>
          <w:lang w:val="el-GR"/>
        </w:rPr>
      </w:pPr>
      <w:r w:rsidRPr="00166C6B">
        <w:rPr>
          <w:bCs/>
          <w:sz w:val="20"/>
          <w:szCs w:val="20"/>
          <w:lang w:val="el-GR"/>
        </w:rPr>
        <w:t xml:space="preserve">** πραγματικό έσοδο (2) / λογιστική αξία της επένδυσης στην αρχή της χρήσης </w:t>
      </w:r>
    </w:p>
    <w:p w14:paraId="036F4D74" w14:textId="77777777" w:rsidR="00166C6B" w:rsidRPr="00166C6B" w:rsidRDefault="00166C6B" w:rsidP="00166C6B">
      <w:pPr>
        <w:jc w:val="both"/>
        <w:rPr>
          <w:bCs/>
          <w:sz w:val="20"/>
          <w:szCs w:val="20"/>
          <w:lang w:val="el-GR"/>
        </w:rPr>
      </w:pPr>
      <w:r w:rsidRPr="00166C6B">
        <w:rPr>
          <w:bCs/>
          <w:sz w:val="20"/>
          <w:szCs w:val="20"/>
          <w:lang w:val="el-GR"/>
        </w:rPr>
        <w:t xml:space="preserve">για το 20Χ0 : €11.135/€92.788 = 12 % </w:t>
      </w:r>
      <w:proofErr w:type="spellStart"/>
      <w:r w:rsidRPr="00166C6B">
        <w:rPr>
          <w:bCs/>
          <w:sz w:val="20"/>
          <w:szCs w:val="20"/>
          <w:lang w:val="el-GR"/>
        </w:rPr>
        <w:t>κ.ο.κ.</w:t>
      </w:r>
      <w:proofErr w:type="spellEnd"/>
      <w:r w:rsidRPr="00166C6B">
        <w:rPr>
          <w:bCs/>
          <w:sz w:val="20"/>
          <w:szCs w:val="20"/>
          <w:lang w:val="el-GR"/>
        </w:rPr>
        <w:t xml:space="preserve"> για τα υπόλοιπα έτη   </w:t>
      </w:r>
    </w:p>
    <w:p w14:paraId="5FFB070C" w14:textId="77777777" w:rsidR="00166C6B" w:rsidRPr="00166C6B" w:rsidRDefault="00166C6B" w:rsidP="00166C6B">
      <w:pPr>
        <w:jc w:val="both"/>
        <w:rPr>
          <w:bCs/>
          <w:i/>
          <w:sz w:val="20"/>
          <w:szCs w:val="20"/>
          <w:lang w:val="el-GR"/>
        </w:rPr>
      </w:pPr>
      <w:r w:rsidRPr="00166C6B">
        <w:rPr>
          <w:bCs/>
          <w:i/>
          <w:sz w:val="20"/>
          <w:szCs w:val="20"/>
          <w:lang w:val="el-GR"/>
        </w:rPr>
        <w:t>Έχουν στρογγυλοποιηθεί ποσά</w:t>
      </w:r>
    </w:p>
    <w:p w14:paraId="23D5FB98" w14:textId="4FA08288" w:rsidR="000D65C6" w:rsidRDefault="000D65C6" w:rsidP="00166C6B">
      <w:pPr>
        <w:rPr>
          <w:rFonts w:asciiTheme="minorHAnsi" w:eastAsiaTheme="minorHAnsi" w:hAnsiTheme="minorHAnsi" w:cstheme="minorBidi"/>
          <w:sz w:val="22"/>
          <w:szCs w:val="22"/>
          <w:lang w:val="el-GR"/>
        </w:rPr>
      </w:pPr>
      <w:r>
        <w:rPr>
          <w:lang w:val="el-GR"/>
        </w:rPr>
        <w:fldChar w:fldCharType="begin"/>
      </w:r>
      <w:r>
        <w:rPr>
          <w:lang w:val="el-GR"/>
        </w:rPr>
        <w:instrText xml:space="preserve"> LINK Excel.Sheet.12 "Βιβλίο1" "Φύλλο1!R1C1:R5C5" \a \f 5 \h  \* MERGEFORMAT </w:instrText>
      </w:r>
      <w:r>
        <w:rPr>
          <w:lang w:val="el-GR"/>
        </w:rPr>
        <w:fldChar w:fldCharType="separate"/>
      </w:r>
    </w:p>
    <w:p w14:paraId="3C4A4222" w14:textId="7A07F78E" w:rsidR="00166C6B" w:rsidRPr="00166C6B" w:rsidRDefault="000D65C6" w:rsidP="00166C6B">
      <w:pPr>
        <w:rPr>
          <w:lang w:val="el-GR"/>
        </w:rPr>
      </w:pPr>
      <w:r>
        <w:rPr>
          <w:lang w:val="el-GR"/>
        </w:rPr>
        <w:fldChar w:fldCharType="end"/>
      </w:r>
    </w:p>
    <w:sectPr w:rsidR="00166C6B" w:rsidRPr="00166C6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7FFE" w14:textId="77777777" w:rsidR="00A8454C" w:rsidRDefault="00A8454C" w:rsidP="001E2CCD">
      <w:r>
        <w:separator/>
      </w:r>
    </w:p>
  </w:endnote>
  <w:endnote w:type="continuationSeparator" w:id="0">
    <w:p w14:paraId="42A65CB0" w14:textId="77777777" w:rsidR="00A8454C" w:rsidRDefault="00A8454C" w:rsidP="001E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4D1B" w14:textId="77777777" w:rsidR="00A8454C" w:rsidRDefault="00A8454C" w:rsidP="001E2CCD">
      <w:r>
        <w:separator/>
      </w:r>
    </w:p>
  </w:footnote>
  <w:footnote w:type="continuationSeparator" w:id="0">
    <w:p w14:paraId="0BD670DE" w14:textId="77777777" w:rsidR="00A8454C" w:rsidRDefault="00A8454C" w:rsidP="001E2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CD"/>
    <w:rsid w:val="00004AD2"/>
    <w:rsid w:val="00053193"/>
    <w:rsid w:val="000645D0"/>
    <w:rsid w:val="000D65C6"/>
    <w:rsid w:val="001379B8"/>
    <w:rsid w:val="00166C6B"/>
    <w:rsid w:val="001E2CCD"/>
    <w:rsid w:val="00391490"/>
    <w:rsid w:val="006A6625"/>
    <w:rsid w:val="008D5BB1"/>
    <w:rsid w:val="00A8454C"/>
    <w:rsid w:val="00E309CF"/>
    <w:rsid w:val="00F514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2A03"/>
  <w15:chartTrackingRefBased/>
  <w15:docId w15:val="{F49926A4-74A5-4CF5-AD3B-66F1C525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CCD"/>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1E2CCD"/>
    <w:pPr>
      <w:jc w:val="center"/>
    </w:pPr>
    <w:rPr>
      <w:b/>
      <w:bCs/>
      <w:lang w:val="el-GR"/>
    </w:rPr>
  </w:style>
  <w:style w:type="character" w:customStyle="1" w:styleId="Char">
    <w:name w:val="Τίτλος Char"/>
    <w:basedOn w:val="a0"/>
    <w:link w:val="a3"/>
    <w:rsid w:val="001E2CCD"/>
    <w:rPr>
      <w:rFonts w:ascii="Times New Roman" w:eastAsia="Times New Roman" w:hAnsi="Times New Roman" w:cs="Times New Roman"/>
      <w:b/>
      <w:bCs/>
      <w:sz w:val="24"/>
      <w:szCs w:val="24"/>
    </w:rPr>
  </w:style>
  <w:style w:type="paragraph" w:styleId="a4">
    <w:name w:val="Body Text"/>
    <w:basedOn w:val="a"/>
    <w:link w:val="Char0"/>
    <w:rsid w:val="001E2CCD"/>
    <w:pPr>
      <w:jc w:val="both"/>
    </w:pPr>
    <w:rPr>
      <w:lang w:val="el-GR"/>
    </w:rPr>
  </w:style>
  <w:style w:type="character" w:customStyle="1" w:styleId="Char0">
    <w:name w:val="Σώμα κειμένου Char"/>
    <w:basedOn w:val="a0"/>
    <w:link w:val="a4"/>
    <w:rsid w:val="001E2CCD"/>
    <w:rPr>
      <w:rFonts w:ascii="Times New Roman" w:eastAsia="Times New Roman" w:hAnsi="Times New Roman" w:cs="Times New Roman"/>
      <w:sz w:val="24"/>
      <w:szCs w:val="24"/>
    </w:rPr>
  </w:style>
  <w:style w:type="paragraph" w:styleId="a5">
    <w:name w:val="footnote text"/>
    <w:basedOn w:val="a"/>
    <w:link w:val="Char1"/>
    <w:semiHidden/>
    <w:rsid w:val="001E2CCD"/>
    <w:rPr>
      <w:sz w:val="20"/>
      <w:szCs w:val="20"/>
    </w:rPr>
  </w:style>
  <w:style w:type="character" w:customStyle="1" w:styleId="Char1">
    <w:name w:val="Κείμενο υποσημείωσης Char"/>
    <w:basedOn w:val="a0"/>
    <w:link w:val="a5"/>
    <w:semiHidden/>
    <w:rsid w:val="001E2CCD"/>
    <w:rPr>
      <w:rFonts w:ascii="Times New Roman" w:eastAsia="Times New Roman" w:hAnsi="Times New Roman" w:cs="Times New Roman"/>
      <w:sz w:val="20"/>
      <w:szCs w:val="20"/>
      <w:lang w:val="en-GB"/>
    </w:rPr>
  </w:style>
  <w:style w:type="character" w:styleId="a6">
    <w:name w:val="footnote reference"/>
    <w:semiHidden/>
    <w:rsid w:val="001E2CCD"/>
    <w:rPr>
      <w:vertAlign w:val="superscript"/>
    </w:rPr>
  </w:style>
  <w:style w:type="paragraph" w:styleId="a7">
    <w:name w:val="Balloon Text"/>
    <w:basedOn w:val="a"/>
    <w:link w:val="Char2"/>
    <w:uiPriority w:val="99"/>
    <w:semiHidden/>
    <w:unhideWhenUsed/>
    <w:rsid w:val="00166C6B"/>
    <w:rPr>
      <w:rFonts w:ascii="Segoe UI" w:hAnsi="Segoe UI" w:cs="Segoe UI"/>
      <w:sz w:val="18"/>
      <w:szCs w:val="18"/>
    </w:rPr>
  </w:style>
  <w:style w:type="character" w:customStyle="1" w:styleId="Char2">
    <w:name w:val="Κείμενο πλαισίου Char"/>
    <w:basedOn w:val="a0"/>
    <w:link w:val="a7"/>
    <w:uiPriority w:val="99"/>
    <w:semiHidden/>
    <w:rsid w:val="00166C6B"/>
    <w:rPr>
      <w:rFonts w:ascii="Segoe UI" w:eastAsia="Times New Roman" w:hAnsi="Segoe UI" w:cs="Segoe UI"/>
      <w:sz w:val="18"/>
      <w:szCs w:val="18"/>
      <w:lang w:val="en-GB"/>
    </w:rPr>
  </w:style>
  <w:style w:type="table" w:styleId="a8">
    <w:name w:val="Table Grid"/>
    <w:basedOn w:val="a1"/>
    <w:uiPriority w:val="39"/>
    <w:rsid w:val="000D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859222">
      <w:bodyDiv w:val="1"/>
      <w:marLeft w:val="0"/>
      <w:marRight w:val="0"/>
      <w:marTop w:val="0"/>
      <w:marBottom w:val="0"/>
      <w:divBdr>
        <w:top w:val="none" w:sz="0" w:space="0" w:color="auto"/>
        <w:left w:val="none" w:sz="0" w:space="0" w:color="auto"/>
        <w:bottom w:val="none" w:sz="0" w:space="0" w:color="auto"/>
        <w:right w:val="none" w:sz="0" w:space="0" w:color="auto"/>
      </w:divBdr>
    </w:div>
    <w:div w:id="181182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6577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CHRISTOS TZOVAS</cp:lastModifiedBy>
  <cp:revision>2</cp:revision>
  <dcterms:created xsi:type="dcterms:W3CDTF">2025-04-30T06:02:00Z</dcterms:created>
  <dcterms:modified xsi:type="dcterms:W3CDTF">2025-04-30T06:02:00Z</dcterms:modified>
</cp:coreProperties>
</file>