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E6D6D" w14:textId="77777777" w:rsidR="00A32C53" w:rsidRDefault="00A32C53" w:rsidP="00A32C53">
      <w:pPr>
        <w:jc w:val="center"/>
        <w:rPr>
          <w:lang w:val="el-GR"/>
        </w:rPr>
      </w:pPr>
    </w:p>
    <w:p w14:paraId="54F8CFEE" w14:textId="77777777" w:rsidR="00A32C53" w:rsidRPr="00853625" w:rsidRDefault="00A32C53" w:rsidP="00A32C53">
      <w:pPr>
        <w:jc w:val="center"/>
        <w:rPr>
          <w:b/>
          <w:lang w:val="el-GR"/>
        </w:rPr>
      </w:pPr>
      <w:r w:rsidRPr="00853625">
        <w:rPr>
          <w:b/>
          <w:lang w:val="el-GR"/>
        </w:rPr>
        <w:t>Έσοδα</w:t>
      </w:r>
    </w:p>
    <w:p w14:paraId="684DB580" w14:textId="77777777" w:rsidR="00A32C53" w:rsidRDefault="00A32C53" w:rsidP="00A32C53">
      <w:pPr>
        <w:pStyle w:val="1"/>
        <w:tabs>
          <w:tab w:val="num" w:pos="720"/>
        </w:tabs>
        <w:spacing w:line="240" w:lineRule="auto"/>
        <w:jc w:val="both"/>
        <w:rPr>
          <w:bCs w:val="0"/>
          <w:sz w:val="24"/>
        </w:rPr>
      </w:pPr>
      <w:r w:rsidRPr="00853625">
        <w:rPr>
          <w:bCs w:val="0"/>
          <w:sz w:val="24"/>
        </w:rPr>
        <w:tab/>
      </w:r>
    </w:p>
    <w:p w14:paraId="0838D9C1" w14:textId="77777777" w:rsidR="00A32C53" w:rsidRPr="00853625" w:rsidRDefault="00A32C53" w:rsidP="00A32C53">
      <w:pPr>
        <w:pStyle w:val="1"/>
        <w:tabs>
          <w:tab w:val="num" w:pos="720"/>
        </w:tabs>
        <w:spacing w:line="240" w:lineRule="auto"/>
        <w:jc w:val="both"/>
        <w:rPr>
          <w:b w:val="0"/>
          <w:sz w:val="24"/>
        </w:rPr>
      </w:pPr>
      <w:r w:rsidRPr="00853625">
        <w:rPr>
          <w:bCs w:val="0"/>
          <w:sz w:val="24"/>
        </w:rPr>
        <w:t>Έσοδο</w:t>
      </w:r>
      <w:r w:rsidRPr="00853625">
        <w:rPr>
          <w:b w:val="0"/>
          <w:sz w:val="24"/>
        </w:rPr>
        <w:t xml:space="preserve"> είναι η ακαθάριστη εισροή οικονομικών ωφελειών μέσα σε μία λογιστική περίοδο, που προκύπτει από τις συνήθεις δραστηριότητες, όταν αυτές οι ωφέλειες καταλήγουν σε αυξήσεις των ιδίων κεφαλαίων (άλλες από αυτές που προκύπτουν από τη συνεισφορά κεφαλαίων από τους μετόχους). </w:t>
      </w:r>
    </w:p>
    <w:p w14:paraId="080663F5" w14:textId="77777777" w:rsidR="00A32C53" w:rsidRDefault="00A32C53" w:rsidP="00A32C53">
      <w:pPr>
        <w:jc w:val="both"/>
        <w:rPr>
          <w:lang w:val="el-GR"/>
        </w:rPr>
      </w:pPr>
    </w:p>
    <w:p w14:paraId="7835733C" w14:textId="77777777" w:rsidR="00A32C53" w:rsidRPr="00853625" w:rsidRDefault="00A32C53" w:rsidP="00A32C53">
      <w:pPr>
        <w:jc w:val="both"/>
        <w:rPr>
          <w:lang w:val="el-GR"/>
        </w:rPr>
      </w:pPr>
      <w:r w:rsidRPr="00853625">
        <w:rPr>
          <w:lang w:val="el-GR"/>
        </w:rPr>
        <w:t xml:space="preserve">Δεν αναγνωρίζονται σαν έσοδα εισπράξεις για λογαριασμό τρίτων (π.χ. ΦΠΑ, πρακτόρευση </w:t>
      </w:r>
      <w:proofErr w:type="spellStart"/>
      <w:r w:rsidRPr="00853625">
        <w:rPr>
          <w:lang w:val="el-GR"/>
        </w:rPr>
        <w:t>κλπ</w:t>
      </w:r>
      <w:proofErr w:type="spellEnd"/>
      <w:r w:rsidRPr="00853625">
        <w:rPr>
          <w:lang w:val="el-GR"/>
        </w:rPr>
        <w:t>)</w:t>
      </w:r>
    </w:p>
    <w:p w14:paraId="3592BEB5" w14:textId="77777777" w:rsidR="00A32C53" w:rsidRDefault="00A32C53" w:rsidP="00A32C53">
      <w:pPr>
        <w:ind w:firstLine="360"/>
        <w:jc w:val="both"/>
        <w:rPr>
          <w:b/>
          <w:bCs/>
          <w:lang w:val="el-GR"/>
        </w:rPr>
      </w:pPr>
    </w:p>
    <w:p w14:paraId="59AAED9C" w14:textId="77777777" w:rsidR="009F5903" w:rsidRDefault="009F5903" w:rsidP="009F5903">
      <w:pPr>
        <w:jc w:val="both"/>
        <w:rPr>
          <w:lang w:val="el-GR"/>
        </w:rPr>
      </w:pPr>
    </w:p>
    <w:p w14:paraId="0D6A5AEF" w14:textId="77777777" w:rsidR="009F5903" w:rsidRDefault="009F5903" w:rsidP="009F5903">
      <w:pPr>
        <w:jc w:val="both"/>
        <w:rPr>
          <w:lang w:val="el-GR"/>
        </w:rPr>
      </w:pPr>
    </w:p>
    <w:p w14:paraId="442F2D75" w14:textId="77777777" w:rsidR="009F5903" w:rsidRPr="003E23AF" w:rsidRDefault="009F5903" w:rsidP="009F5903">
      <w:pPr>
        <w:jc w:val="both"/>
        <w:rPr>
          <w:rFonts w:ascii="Cambria" w:hAnsi="Cambria"/>
          <w:b/>
          <w:lang w:val="el-GR"/>
        </w:rPr>
      </w:pPr>
      <w:r w:rsidRPr="003E23AF">
        <w:rPr>
          <w:rFonts w:ascii="Cambria" w:hAnsi="Cambria"/>
          <w:b/>
          <w:lang w:val="el-GR"/>
        </w:rPr>
        <w:t>Παράδειγμα 1</w:t>
      </w:r>
    </w:p>
    <w:p w14:paraId="60EFC8E7" w14:textId="77777777" w:rsidR="009F5903" w:rsidRDefault="009F5903" w:rsidP="009F5903">
      <w:pPr>
        <w:jc w:val="both"/>
        <w:rPr>
          <w:lang w:val="el-GR"/>
        </w:rPr>
      </w:pPr>
      <w:r w:rsidRPr="003E23AF">
        <w:rPr>
          <w:lang w:val="el-GR"/>
        </w:rPr>
        <w:t xml:space="preserve">Η Α εμπορεύεται Η/Υ. Στις 15/1/2015 πούλησε έναν Η/Υ αντί € 492. Στην τιμή πώλησης είχε ενσωματωθεί ΦΠΑ με συντελεστή 23%. Υπολογίστε το έσοδο της </w:t>
      </w:r>
      <w:r>
        <w:rPr>
          <w:lang w:val="en-US"/>
        </w:rPr>
        <w:t>A</w:t>
      </w:r>
      <w:r w:rsidRPr="009F5903">
        <w:rPr>
          <w:lang w:val="el-GR"/>
        </w:rPr>
        <w:t xml:space="preserve"> </w:t>
      </w:r>
      <w:r w:rsidRPr="003E23AF">
        <w:rPr>
          <w:lang w:val="el-GR"/>
        </w:rPr>
        <w:t xml:space="preserve">από την πώληση. </w:t>
      </w:r>
    </w:p>
    <w:p w14:paraId="69FB393B" w14:textId="77777777" w:rsidR="009F5903" w:rsidRPr="003E23AF" w:rsidRDefault="009F5903" w:rsidP="009F5903">
      <w:pPr>
        <w:jc w:val="both"/>
        <w:rPr>
          <w:lang w:val="el-GR"/>
        </w:rPr>
      </w:pPr>
    </w:p>
    <w:p w14:paraId="65CF7B2D" w14:textId="77777777" w:rsidR="009F5903" w:rsidRDefault="009F5903" w:rsidP="009F5903">
      <w:pPr>
        <w:jc w:val="both"/>
        <w:rPr>
          <w:rFonts w:ascii="Cambria" w:hAnsi="Cambria"/>
          <w:b/>
          <w:lang w:val="el-GR"/>
        </w:rPr>
      </w:pPr>
      <w:r w:rsidRPr="009A3BEC">
        <w:rPr>
          <w:rFonts w:ascii="Cambria" w:hAnsi="Cambria"/>
          <w:b/>
          <w:lang w:val="el-GR"/>
        </w:rPr>
        <w:t xml:space="preserve">Παράδειγμα </w:t>
      </w:r>
      <w:r>
        <w:rPr>
          <w:rFonts w:ascii="Cambria" w:hAnsi="Cambria"/>
          <w:b/>
          <w:lang w:val="el-GR"/>
        </w:rPr>
        <w:t>2</w:t>
      </w:r>
    </w:p>
    <w:p w14:paraId="63B55905" w14:textId="77777777" w:rsidR="009F5903" w:rsidRDefault="009F5903" w:rsidP="009F5903">
      <w:pPr>
        <w:ind w:firstLine="360"/>
        <w:jc w:val="both"/>
        <w:rPr>
          <w:b/>
          <w:bCs/>
          <w:lang w:val="el-GR"/>
        </w:rPr>
      </w:pPr>
      <w:r>
        <w:rPr>
          <w:lang w:val="el-GR"/>
        </w:rPr>
        <w:t>Ο Α στις 5/7/20Χ5 πλήρωσε € 121 για το λογαριασμό της ΔΕΗ ύψους € 120 σε κατάστημα των ΕΛΤΑ. Το ποσό του € 1, είναι η προμήθεια των ΕΛΤΑ για τη διαμεσολάβηση στην είσπραξη του ποσού. Στις 7/7 η κεντρική ταμειακή υπηρεσία των ΕΛΤΑ απέδωσε τα €120 στη ΔΕΗ. Προσδιορίστε τα έσοδα των ΕΛΤΑ από την παραπάνω συναλλαγή</w:t>
      </w:r>
    </w:p>
    <w:p w14:paraId="3F24EF55" w14:textId="77777777" w:rsidR="009F5903" w:rsidRDefault="009F5903" w:rsidP="00A32C53">
      <w:pPr>
        <w:ind w:firstLine="360"/>
        <w:jc w:val="both"/>
        <w:rPr>
          <w:b/>
          <w:bCs/>
          <w:lang w:val="el-GR"/>
        </w:rPr>
      </w:pPr>
    </w:p>
    <w:p w14:paraId="06FE538B" w14:textId="77777777" w:rsidR="009F5903" w:rsidRPr="00D442C3" w:rsidRDefault="009F5903" w:rsidP="00A32C53">
      <w:pPr>
        <w:ind w:firstLine="360"/>
        <w:jc w:val="both"/>
        <w:rPr>
          <w:b/>
          <w:bCs/>
          <w:lang w:val="el-GR"/>
        </w:rPr>
      </w:pPr>
    </w:p>
    <w:p w14:paraId="65D7AFCB" w14:textId="77777777" w:rsidR="009F5903" w:rsidRPr="00412F0F" w:rsidRDefault="009F5903" w:rsidP="009F5903">
      <w:pPr>
        <w:jc w:val="both"/>
        <w:rPr>
          <w:b/>
          <w:lang w:val="el-GR"/>
        </w:rPr>
      </w:pPr>
      <w:r w:rsidRPr="00412F0F">
        <w:rPr>
          <w:b/>
          <w:lang w:val="el-GR"/>
        </w:rPr>
        <w:t>Μέτρηση του Εσόδου</w:t>
      </w:r>
    </w:p>
    <w:p w14:paraId="1E7FF6B5" w14:textId="77777777" w:rsidR="009F5903" w:rsidRPr="009F5903" w:rsidRDefault="009F5903" w:rsidP="009F5903">
      <w:pPr>
        <w:jc w:val="both"/>
        <w:rPr>
          <w:lang w:val="el-GR"/>
        </w:rPr>
      </w:pPr>
      <w:r w:rsidRPr="009F5903">
        <w:rPr>
          <w:lang w:val="el-GR"/>
        </w:rPr>
        <w:t>Έσοδα = ονομαστική αξία του ανταλλάγματος που εισπράχθηκε ή είναι εισπρακτέο.</w:t>
      </w:r>
    </w:p>
    <w:p w14:paraId="2E28502D" w14:textId="77777777" w:rsidR="009F5903" w:rsidRPr="009F5903" w:rsidRDefault="009F5903" w:rsidP="003D7724">
      <w:pPr>
        <w:jc w:val="both"/>
        <w:rPr>
          <w:lang w:val="el-GR"/>
        </w:rPr>
      </w:pPr>
      <w:r w:rsidRPr="009F5903">
        <w:rPr>
          <w:lang w:val="el-GR"/>
        </w:rPr>
        <w:t xml:space="preserve">Συναλλαγές με πίστωση: ενδέχεται το σχετικό ποσό να ενσωματώνει τόκο. </w:t>
      </w:r>
    </w:p>
    <w:p w14:paraId="5B98A0B1" w14:textId="77777777" w:rsidR="009F5903" w:rsidRPr="002476C3" w:rsidRDefault="009F5903" w:rsidP="003D7724">
      <w:pPr>
        <w:jc w:val="both"/>
        <w:rPr>
          <w:lang w:val="el-GR"/>
        </w:rPr>
      </w:pPr>
      <w:r w:rsidRPr="009F5903">
        <w:rPr>
          <w:lang w:val="el-GR"/>
        </w:rPr>
        <w:t xml:space="preserve">Το έσοδο </w:t>
      </w:r>
      <w:proofErr w:type="spellStart"/>
      <w:r w:rsidRPr="009F5903">
        <w:rPr>
          <w:lang w:val="el-GR"/>
        </w:rPr>
        <w:t>μετράται</w:t>
      </w:r>
      <w:proofErr w:type="spellEnd"/>
      <w:r w:rsidRPr="009F5903">
        <w:rPr>
          <w:lang w:val="el-GR"/>
        </w:rPr>
        <w:t xml:space="preserve"> στο </w:t>
      </w:r>
      <w:proofErr w:type="spellStart"/>
      <w:r w:rsidRPr="009F5903">
        <w:rPr>
          <w:lang w:val="el-GR"/>
        </w:rPr>
        <w:t>αποσβέσιμο</w:t>
      </w:r>
      <w:proofErr w:type="spellEnd"/>
      <w:r w:rsidRPr="009F5903">
        <w:rPr>
          <w:lang w:val="el-GR"/>
        </w:rPr>
        <w:t xml:space="preserve"> κόστος με την μέθοδο του πραγματικού (αποτελεσματικού) επιτοκίου ή τη σταθερή μέθοδο (μόνο ΕΛΠ) , εάν εκτιμάται ότι έχει σημαντική επίπτωση στα ποσά των χρηματοοικονομικών καταστάσεων. Στην περίπτωση αυτή, το ποσό του </w:t>
      </w:r>
      <w:proofErr w:type="spellStart"/>
      <w:r w:rsidRPr="009F5903">
        <w:rPr>
          <w:lang w:val="el-GR"/>
        </w:rPr>
        <w:t>προκύπτοντος</w:t>
      </w:r>
      <w:proofErr w:type="spellEnd"/>
      <w:r w:rsidRPr="009F5903">
        <w:rPr>
          <w:lang w:val="el-GR"/>
        </w:rPr>
        <w:t xml:space="preserve"> τόκου αναγνωρίζεται κατάλληλα στα αποτελέσματα.</w:t>
      </w:r>
      <w:r w:rsidR="003D7724">
        <w:rPr>
          <w:lang w:val="el-GR"/>
        </w:rPr>
        <w:t xml:space="preserve"> </w:t>
      </w:r>
      <w:r w:rsidRPr="002476C3">
        <w:rPr>
          <w:lang w:val="el-GR"/>
        </w:rPr>
        <w:t>Δεν υπάρχει λόγος να εξετάζουμε την ύπαρξη χρηματοοικονομικής συναλλαγής αν η διάρκεια της πίστωσης είναι μικρότερη του έτους (εκτός αν ρητά αναφέρεται)</w:t>
      </w:r>
    </w:p>
    <w:p w14:paraId="0959980C" w14:textId="77777777" w:rsidR="009F5903" w:rsidRDefault="009F5903" w:rsidP="009F5903">
      <w:pPr>
        <w:jc w:val="both"/>
        <w:rPr>
          <w:lang w:val="el-GR"/>
        </w:rPr>
      </w:pPr>
    </w:p>
    <w:p w14:paraId="4D2AAD7F" w14:textId="1A528B9A" w:rsidR="009F5903" w:rsidRPr="007C505B" w:rsidRDefault="009F5903" w:rsidP="009F5903">
      <w:pPr>
        <w:jc w:val="both"/>
        <w:rPr>
          <w:b/>
          <w:lang w:val="el-GR"/>
        </w:rPr>
      </w:pPr>
      <w:r>
        <w:rPr>
          <w:b/>
          <w:lang w:val="el-GR"/>
        </w:rPr>
        <w:t xml:space="preserve">Παράδειγμα </w:t>
      </w:r>
      <w:r w:rsidR="001E3B37">
        <w:rPr>
          <w:b/>
          <w:lang w:val="el-GR"/>
        </w:rPr>
        <w:t>3</w:t>
      </w:r>
    </w:p>
    <w:p w14:paraId="794EB042" w14:textId="77777777" w:rsidR="009F5903" w:rsidRDefault="009F5903" w:rsidP="009F5903">
      <w:pPr>
        <w:jc w:val="both"/>
        <w:rPr>
          <w:lang w:val="el-GR"/>
        </w:rPr>
      </w:pPr>
      <w:r>
        <w:rPr>
          <w:lang w:val="el-GR"/>
        </w:rPr>
        <w:tab/>
        <w:t>Η ΑΒΓ πούλησε την 1/1/20Χ5 ένα αυτοκίνητο στην ΧΨΖ αντί € 12.100 τα οποία θα καταβληθούν στις 31/12/20Χ6. Η τιμή πώλησης με μετρητά είναι € 10.000. Διενεργείστε τις σχετικές ημερολογιακές εγγραφές</w:t>
      </w:r>
    </w:p>
    <w:p w14:paraId="5ACCCCFC" w14:textId="77777777" w:rsidR="009F5903" w:rsidRDefault="009F5903" w:rsidP="009F5903">
      <w:pPr>
        <w:jc w:val="both"/>
        <w:rPr>
          <w:lang w:val="el-GR"/>
        </w:rPr>
      </w:pPr>
    </w:p>
    <w:p w14:paraId="7DE0C6DF" w14:textId="77777777" w:rsidR="009F5903" w:rsidRDefault="009F5903" w:rsidP="009F5903">
      <w:pPr>
        <w:jc w:val="both"/>
        <w:rPr>
          <w:lang w:val="el-GR"/>
        </w:rPr>
      </w:pPr>
    </w:p>
    <w:p w14:paraId="333A455C" w14:textId="77777777" w:rsidR="009F5903" w:rsidRPr="00A37F6D" w:rsidRDefault="009F5903" w:rsidP="009F5903">
      <w:pPr>
        <w:jc w:val="both"/>
        <w:rPr>
          <w:lang w:val="el-GR"/>
        </w:rPr>
      </w:pPr>
      <w:r w:rsidRPr="00A37F6D">
        <w:rPr>
          <w:b/>
          <w:bCs/>
          <w:lang w:val="el-GR"/>
        </w:rPr>
        <w:t>Προεξοφλητικό Επιτόκιο</w:t>
      </w:r>
    </w:p>
    <w:p w14:paraId="5D83A712" w14:textId="77777777" w:rsidR="009F5903" w:rsidRDefault="009F5903" w:rsidP="009F5903">
      <w:pPr>
        <w:jc w:val="both"/>
        <w:rPr>
          <w:lang w:val="el-GR"/>
        </w:rPr>
      </w:pPr>
      <w:r w:rsidRPr="00A37F6D">
        <w:rPr>
          <w:lang w:val="el-GR"/>
        </w:rPr>
        <w:tab/>
        <w:t xml:space="preserve">Σαν προεξοφλητικό επιτόκιο λαμβάνεται </w:t>
      </w:r>
      <w:r>
        <w:rPr>
          <w:lang w:val="el-GR"/>
        </w:rPr>
        <w:t>το επιτόκιο με το οποίο θα επιβάρυνε ο πωλητής τον αγοραστή σε μία ξεχωριστή χρηματοοικονομική συναλλαγή (δηλαδή του δάνειζε).</w:t>
      </w:r>
    </w:p>
    <w:p w14:paraId="1EAD56C7" w14:textId="77777777" w:rsidR="009F5903" w:rsidRDefault="009F5903" w:rsidP="009F5903">
      <w:pPr>
        <w:jc w:val="both"/>
        <w:rPr>
          <w:lang w:val="el-GR"/>
        </w:rPr>
      </w:pPr>
    </w:p>
    <w:p w14:paraId="7AE6BFB8" w14:textId="16B2B34E" w:rsidR="009F5903" w:rsidRPr="00455436" w:rsidRDefault="009F5903" w:rsidP="009F5903">
      <w:pPr>
        <w:jc w:val="both"/>
        <w:rPr>
          <w:b/>
          <w:lang w:val="en-US"/>
        </w:rPr>
      </w:pPr>
      <w:r>
        <w:rPr>
          <w:b/>
          <w:lang w:val="el-GR"/>
        </w:rPr>
        <w:t xml:space="preserve">Παράδειγμα </w:t>
      </w:r>
      <w:r w:rsidR="001E3B37">
        <w:rPr>
          <w:b/>
          <w:lang w:val="el-GR"/>
        </w:rPr>
        <w:t>4</w:t>
      </w:r>
    </w:p>
    <w:p w14:paraId="0155F53A" w14:textId="77777777" w:rsidR="009F5903" w:rsidRPr="002476C3" w:rsidRDefault="009F5903" w:rsidP="009F5903">
      <w:pPr>
        <w:jc w:val="both"/>
        <w:rPr>
          <w:lang w:val="el-GR"/>
        </w:rPr>
      </w:pPr>
      <w:r>
        <w:rPr>
          <w:lang w:val="el-GR"/>
        </w:rPr>
        <w:lastRenderedPageBreak/>
        <w:tab/>
        <w:t>Η ΑΒΓ πούλησε την 1/1/20Χ5 ένα αυτοκίνητο στην ΧΨΖ αντί € 12.100 τα οποία θα καταβληθούν στις 31/12/20Χ6. Σε μία ξεχωριστή χρηματοοικονομική συναλλαγή, η ΑΒΓ θα επιβάρυνε την ΧΨΖ με επιτόκιο 15%. Διενεργείστε τις σχετικές ημερολογιακές εγγραφές</w:t>
      </w:r>
      <w:r w:rsidRPr="002476C3">
        <w:rPr>
          <w:lang w:val="el-GR"/>
        </w:rPr>
        <w:t>.</w:t>
      </w:r>
    </w:p>
    <w:p w14:paraId="59AD5D74" w14:textId="77777777" w:rsidR="00A32C53" w:rsidRDefault="00A32C53" w:rsidP="00A32C53">
      <w:pPr>
        <w:jc w:val="both"/>
        <w:rPr>
          <w:b/>
          <w:bCs/>
          <w:lang w:val="el-GR"/>
        </w:rPr>
      </w:pPr>
    </w:p>
    <w:p w14:paraId="6AE70B7F" w14:textId="77777777" w:rsidR="00A32C53" w:rsidRPr="00127E14" w:rsidRDefault="00A32C53" w:rsidP="00A32C53">
      <w:pPr>
        <w:jc w:val="both"/>
        <w:rPr>
          <w:b/>
          <w:lang w:val="el-GR"/>
        </w:rPr>
      </w:pPr>
    </w:p>
    <w:p w14:paraId="07E19970" w14:textId="77777777" w:rsidR="002476C3" w:rsidRPr="002476C3" w:rsidRDefault="002476C3" w:rsidP="002476C3">
      <w:pPr>
        <w:ind w:right="26"/>
        <w:jc w:val="both"/>
        <w:rPr>
          <w:b/>
          <w:lang w:val="el-GR"/>
        </w:rPr>
      </w:pPr>
      <w:r w:rsidRPr="002476C3">
        <w:rPr>
          <w:b/>
          <w:lang w:val="el-GR"/>
        </w:rPr>
        <w:t>Αναγνώριση εσόδου κατά τη διάρκεια της παραγωγής</w:t>
      </w:r>
    </w:p>
    <w:p w14:paraId="74C8083E" w14:textId="77777777" w:rsidR="002476C3" w:rsidRPr="002476C3" w:rsidRDefault="002476C3" w:rsidP="002476C3">
      <w:pPr>
        <w:ind w:right="26"/>
        <w:jc w:val="both"/>
        <w:rPr>
          <w:lang w:val="el-GR"/>
        </w:rPr>
      </w:pPr>
      <w:r w:rsidRPr="002476C3">
        <w:rPr>
          <w:lang w:val="el-GR"/>
        </w:rPr>
        <w:t xml:space="preserve">Σε ορισμένες περιπτώσεις ενδείκνυται η αναγνώριση του εσόδου να γίνει πριν την παράδοση του αγαθού. Για παράδειγμα, στην περίπτωση μακροχρόνιων κατασκευαστικών έργων το έσοδο μπορεί να αναγνωρίζεται βάσει του βαθμού ολοκλήρωσης του έργου. Η συγκεκριμένη μέθοδος αναγνώρισης των εσόδων καλείται </w:t>
      </w:r>
      <w:r w:rsidRPr="002476C3">
        <w:rPr>
          <w:b/>
          <w:lang w:val="el-GR"/>
        </w:rPr>
        <w:t>μέθοδος του ποσοστού ολοκλήρωσης</w:t>
      </w:r>
      <w:r w:rsidRPr="002476C3">
        <w:rPr>
          <w:lang w:val="el-GR"/>
        </w:rPr>
        <w:t>.  Συνήθως ο βαθμός ολοκλήρωσης του έργου προσδιορίζεται βάσει του συνολικού κόστους που έχει πραγματοποιηθεί για το έργο σε συγκεκριμένη ημερομηνία σε σχέση με το εκτιμώμενο συνολικό κόστος για τη αποπεράτωση του έργου.</w:t>
      </w:r>
      <w:r w:rsidRPr="002D1189">
        <w:rPr>
          <w:lang w:val="el-GR"/>
        </w:rPr>
        <w:t xml:space="preserve"> </w:t>
      </w:r>
      <w:r w:rsidRPr="002476C3">
        <w:rPr>
          <w:lang w:val="el-GR"/>
        </w:rPr>
        <w:t xml:space="preserve">     </w:t>
      </w:r>
    </w:p>
    <w:p w14:paraId="38F13952" w14:textId="77777777" w:rsidR="002476C3" w:rsidRPr="002D1189" w:rsidRDefault="002476C3" w:rsidP="002476C3">
      <w:pPr>
        <w:jc w:val="both"/>
        <w:rPr>
          <w:lang w:val="el-GR"/>
        </w:rPr>
      </w:pPr>
      <w:r w:rsidRPr="002476C3">
        <w:rPr>
          <w:lang w:val="el-GR"/>
        </w:rPr>
        <w:t xml:space="preserve">                    </w:t>
      </w:r>
    </w:p>
    <w:p w14:paraId="1DF62B23" w14:textId="77777777" w:rsidR="002476C3" w:rsidRPr="009F37D4" w:rsidRDefault="002476C3" w:rsidP="00A32C53">
      <w:pPr>
        <w:jc w:val="both"/>
        <w:rPr>
          <w:b/>
          <w:lang w:val="el-GR"/>
        </w:rPr>
      </w:pPr>
    </w:p>
    <w:p w14:paraId="0604D1E2" w14:textId="77777777" w:rsidR="00A32C53" w:rsidRPr="00543FF6" w:rsidRDefault="00A32C53" w:rsidP="00A32C53">
      <w:pPr>
        <w:jc w:val="both"/>
        <w:rPr>
          <w:b/>
          <w:lang w:val="el-GR"/>
        </w:rPr>
      </w:pPr>
      <w:r w:rsidRPr="00543FF6">
        <w:rPr>
          <w:b/>
          <w:lang w:val="el-GR"/>
        </w:rPr>
        <w:t xml:space="preserve">Παράδειγμα </w:t>
      </w:r>
      <w:r>
        <w:rPr>
          <w:b/>
          <w:lang w:val="el-GR"/>
        </w:rPr>
        <w:t>5</w:t>
      </w:r>
    </w:p>
    <w:p w14:paraId="01F48BFE" w14:textId="77777777" w:rsidR="00A32C53" w:rsidRPr="00FC1D79" w:rsidRDefault="00A32C53" w:rsidP="00A32C53">
      <w:pPr>
        <w:jc w:val="both"/>
        <w:rPr>
          <w:sz w:val="22"/>
          <w:lang w:val="el-GR"/>
        </w:rPr>
      </w:pPr>
      <w:r w:rsidRPr="00FC1D79">
        <w:rPr>
          <w:sz w:val="22"/>
          <w:lang w:val="el-GR"/>
        </w:rPr>
        <w:t xml:space="preserve">Η επιχείρηση Α ανέλαβε  την κατασκευή έργου συμβατικού εσόδου 500.000 ευρώ και το τελικό </w:t>
      </w:r>
      <w:proofErr w:type="spellStart"/>
      <w:r w:rsidRPr="00FC1D79">
        <w:rPr>
          <w:sz w:val="22"/>
          <w:lang w:val="el-GR"/>
        </w:rPr>
        <w:t>πραγματοποιηθέν</w:t>
      </w:r>
      <w:proofErr w:type="spellEnd"/>
      <w:r w:rsidRPr="00FC1D79">
        <w:rPr>
          <w:sz w:val="22"/>
          <w:lang w:val="el-GR"/>
        </w:rPr>
        <w:t xml:space="preserve"> κόστος κατασκευής ανήλθε στα 405.000 ευρώ. Ο χρόνος εκτέλεσης του έργου είναι 3 χρόνια (2001-2003) Δίνονται τα παρακάτω δεδομένα σχετικά με το έργο :</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985"/>
        <w:gridCol w:w="1984"/>
        <w:gridCol w:w="1608"/>
      </w:tblGrid>
      <w:tr w:rsidR="00A32C53" w14:paraId="343398C8" w14:textId="77777777" w:rsidTr="00A32C53">
        <w:tc>
          <w:tcPr>
            <w:tcW w:w="2943" w:type="dxa"/>
          </w:tcPr>
          <w:p w14:paraId="1DAB4E4A" w14:textId="77777777" w:rsidR="00A32C53" w:rsidRPr="00FC1D79" w:rsidRDefault="00A32C53" w:rsidP="00D0715F">
            <w:pPr>
              <w:jc w:val="both"/>
              <w:rPr>
                <w:sz w:val="22"/>
                <w:lang w:val="el-GR"/>
              </w:rPr>
            </w:pPr>
          </w:p>
        </w:tc>
        <w:tc>
          <w:tcPr>
            <w:tcW w:w="1985" w:type="dxa"/>
          </w:tcPr>
          <w:p w14:paraId="4FE73D82" w14:textId="77777777" w:rsidR="00A32C53" w:rsidRDefault="00A32C53" w:rsidP="00D0715F">
            <w:pPr>
              <w:jc w:val="center"/>
              <w:rPr>
                <w:sz w:val="22"/>
                <w:u w:val="single"/>
              </w:rPr>
            </w:pPr>
            <w:r>
              <w:rPr>
                <w:sz w:val="22"/>
                <w:u w:val="single"/>
              </w:rPr>
              <w:t>2001</w:t>
            </w:r>
          </w:p>
        </w:tc>
        <w:tc>
          <w:tcPr>
            <w:tcW w:w="1984" w:type="dxa"/>
          </w:tcPr>
          <w:p w14:paraId="752F7FC9" w14:textId="77777777" w:rsidR="00A32C53" w:rsidRDefault="00A32C53" w:rsidP="00D0715F">
            <w:pPr>
              <w:jc w:val="center"/>
              <w:rPr>
                <w:sz w:val="22"/>
                <w:u w:val="single"/>
              </w:rPr>
            </w:pPr>
            <w:r>
              <w:rPr>
                <w:sz w:val="22"/>
                <w:u w:val="single"/>
              </w:rPr>
              <w:t>2002</w:t>
            </w:r>
          </w:p>
        </w:tc>
        <w:tc>
          <w:tcPr>
            <w:tcW w:w="1608" w:type="dxa"/>
          </w:tcPr>
          <w:p w14:paraId="3A4640E0" w14:textId="77777777" w:rsidR="00A32C53" w:rsidRDefault="00A32C53" w:rsidP="00D0715F">
            <w:pPr>
              <w:jc w:val="center"/>
              <w:rPr>
                <w:sz w:val="22"/>
                <w:u w:val="single"/>
              </w:rPr>
            </w:pPr>
            <w:r>
              <w:rPr>
                <w:sz w:val="22"/>
                <w:u w:val="single"/>
              </w:rPr>
              <w:t>2003</w:t>
            </w:r>
          </w:p>
        </w:tc>
      </w:tr>
      <w:tr w:rsidR="00A32C53" w14:paraId="670B8FF0" w14:textId="77777777" w:rsidTr="00A32C53">
        <w:tc>
          <w:tcPr>
            <w:tcW w:w="2943" w:type="dxa"/>
          </w:tcPr>
          <w:p w14:paraId="3A790E78" w14:textId="77777777" w:rsidR="00A32C53" w:rsidRDefault="00A32C53" w:rsidP="00D0715F">
            <w:pPr>
              <w:jc w:val="both"/>
              <w:rPr>
                <w:sz w:val="22"/>
              </w:rPr>
            </w:pPr>
            <w:proofErr w:type="spellStart"/>
            <w:r>
              <w:rPr>
                <w:sz w:val="22"/>
              </w:rPr>
              <w:t>Σωρευμένες</w:t>
            </w:r>
            <w:proofErr w:type="spellEnd"/>
            <w:r>
              <w:rPr>
                <w:sz w:val="22"/>
              </w:rPr>
              <w:t xml:space="preserve"> Δαπ</w:t>
            </w:r>
            <w:proofErr w:type="spellStart"/>
            <w:r>
              <w:rPr>
                <w:sz w:val="22"/>
              </w:rPr>
              <w:t>άνες</w:t>
            </w:r>
            <w:proofErr w:type="spellEnd"/>
          </w:p>
        </w:tc>
        <w:tc>
          <w:tcPr>
            <w:tcW w:w="1985" w:type="dxa"/>
          </w:tcPr>
          <w:p w14:paraId="512CD4F4" w14:textId="77777777" w:rsidR="00A32C53" w:rsidRDefault="00A32C53" w:rsidP="00D0715F">
            <w:pPr>
              <w:jc w:val="center"/>
              <w:rPr>
                <w:sz w:val="22"/>
              </w:rPr>
            </w:pPr>
            <w:r>
              <w:rPr>
                <w:sz w:val="22"/>
              </w:rPr>
              <w:t>150.000</w:t>
            </w:r>
          </w:p>
        </w:tc>
        <w:tc>
          <w:tcPr>
            <w:tcW w:w="1984" w:type="dxa"/>
          </w:tcPr>
          <w:p w14:paraId="3FF279CB" w14:textId="77777777" w:rsidR="00A32C53" w:rsidRDefault="00A32C53" w:rsidP="00D0715F">
            <w:pPr>
              <w:jc w:val="center"/>
              <w:rPr>
                <w:sz w:val="22"/>
              </w:rPr>
            </w:pPr>
            <w:r>
              <w:rPr>
                <w:sz w:val="22"/>
              </w:rPr>
              <w:t>360.000</w:t>
            </w:r>
          </w:p>
        </w:tc>
        <w:tc>
          <w:tcPr>
            <w:tcW w:w="1608" w:type="dxa"/>
          </w:tcPr>
          <w:p w14:paraId="543742D4" w14:textId="77777777" w:rsidR="00A32C53" w:rsidRDefault="00A32C53" w:rsidP="00D0715F">
            <w:pPr>
              <w:jc w:val="center"/>
              <w:rPr>
                <w:sz w:val="22"/>
              </w:rPr>
            </w:pPr>
            <w:r>
              <w:rPr>
                <w:sz w:val="22"/>
              </w:rPr>
              <w:t>405.000</w:t>
            </w:r>
          </w:p>
        </w:tc>
      </w:tr>
      <w:tr w:rsidR="00A32C53" w14:paraId="1FAA31E3" w14:textId="77777777" w:rsidTr="00A32C53">
        <w:tc>
          <w:tcPr>
            <w:tcW w:w="2943" w:type="dxa"/>
          </w:tcPr>
          <w:p w14:paraId="419DCA9F" w14:textId="77777777" w:rsidR="00A32C53" w:rsidRPr="00FC1D79" w:rsidRDefault="00A32C53" w:rsidP="00D0715F">
            <w:pPr>
              <w:jc w:val="both"/>
              <w:rPr>
                <w:sz w:val="22"/>
                <w:lang w:val="el-GR"/>
              </w:rPr>
            </w:pPr>
            <w:r w:rsidRPr="00FC1D79">
              <w:rPr>
                <w:sz w:val="22"/>
                <w:lang w:val="el-GR"/>
              </w:rPr>
              <w:t>Εκτιμώμενες ως την ολοκλήρωση του έργου δαπάνες</w:t>
            </w:r>
          </w:p>
        </w:tc>
        <w:tc>
          <w:tcPr>
            <w:tcW w:w="1985" w:type="dxa"/>
          </w:tcPr>
          <w:p w14:paraId="5D7306D5" w14:textId="77777777" w:rsidR="00A32C53" w:rsidRDefault="00A32C53" w:rsidP="00D0715F">
            <w:pPr>
              <w:jc w:val="center"/>
              <w:rPr>
                <w:sz w:val="22"/>
              </w:rPr>
            </w:pPr>
            <w:r>
              <w:rPr>
                <w:sz w:val="22"/>
              </w:rPr>
              <w:t>300.000</w:t>
            </w:r>
          </w:p>
        </w:tc>
        <w:tc>
          <w:tcPr>
            <w:tcW w:w="1984" w:type="dxa"/>
          </w:tcPr>
          <w:p w14:paraId="20DA07C0" w14:textId="77777777" w:rsidR="00A32C53" w:rsidRDefault="00A32C53" w:rsidP="00D0715F">
            <w:pPr>
              <w:jc w:val="center"/>
              <w:rPr>
                <w:sz w:val="22"/>
              </w:rPr>
            </w:pPr>
            <w:r>
              <w:rPr>
                <w:sz w:val="22"/>
              </w:rPr>
              <w:t>40.000</w:t>
            </w:r>
          </w:p>
        </w:tc>
        <w:tc>
          <w:tcPr>
            <w:tcW w:w="1608" w:type="dxa"/>
          </w:tcPr>
          <w:p w14:paraId="67681994" w14:textId="77777777" w:rsidR="00A32C53" w:rsidRDefault="00A32C53" w:rsidP="00D0715F">
            <w:pPr>
              <w:jc w:val="center"/>
              <w:rPr>
                <w:sz w:val="22"/>
              </w:rPr>
            </w:pPr>
            <w:r>
              <w:rPr>
                <w:sz w:val="22"/>
              </w:rPr>
              <w:t>-</w:t>
            </w:r>
          </w:p>
        </w:tc>
      </w:tr>
    </w:tbl>
    <w:p w14:paraId="5F489340" w14:textId="77777777" w:rsidR="00A32C53" w:rsidRDefault="00A32C53" w:rsidP="00A32C53">
      <w:pPr>
        <w:rPr>
          <w:lang w:val="en-US"/>
        </w:rPr>
      </w:pPr>
    </w:p>
    <w:p w14:paraId="7E45EA85" w14:textId="77777777" w:rsidR="00A32C53" w:rsidRPr="00FC1D79" w:rsidRDefault="00A32C53" w:rsidP="00A32C53">
      <w:pPr>
        <w:rPr>
          <w:lang w:val="el-GR"/>
        </w:rPr>
      </w:pPr>
      <w:r w:rsidRPr="00FC1D79">
        <w:rPr>
          <w:lang w:val="el-GR"/>
        </w:rPr>
        <w:t xml:space="preserve">Προσδιορίστε το αποτέλεσμα το οποίο πραγματοποιεί η Α σε κάθε χρήση υποθέτοντας ότι εφαρμόζει τη μέθοδο του ποσοστού ολοκλήρωσης για την αναγνώριση εσόδων από κατασκευαστικά συμβόλαια    </w:t>
      </w:r>
    </w:p>
    <w:p w14:paraId="5B42DC36" w14:textId="77777777" w:rsidR="00A32C53" w:rsidRDefault="00A32C53" w:rsidP="00A32C53">
      <w:pPr>
        <w:jc w:val="both"/>
        <w:rPr>
          <w:b/>
          <w:lang w:val="el-GR"/>
        </w:rPr>
      </w:pPr>
    </w:p>
    <w:p w14:paraId="2F06F309" w14:textId="77777777" w:rsidR="00A32C53" w:rsidRPr="00FC1D79" w:rsidRDefault="00A32C53" w:rsidP="00A32C53">
      <w:pPr>
        <w:jc w:val="both"/>
        <w:rPr>
          <w:sz w:val="22"/>
          <w:lang w:val="el-GR"/>
        </w:rPr>
      </w:pPr>
    </w:p>
    <w:p w14:paraId="50A1203C" w14:textId="77777777" w:rsidR="00A32C53" w:rsidRPr="009F37D4" w:rsidRDefault="00A32C53" w:rsidP="00A32C53">
      <w:pPr>
        <w:pStyle w:val="2"/>
        <w:spacing w:line="240" w:lineRule="auto"/>
        <w:jc w:val="both"/>
        <w:rPr>
          <w:lang w:val="el-GR"/>
        </w:rPr>
      </w:pPr>
    </w:p>
    <w:p w14:paraId="505E7490" w14:textId="77777777" w:rsidR="004872A4" w:rsidRDefault="004872A4"/>
    <w:sectPr w:rsidR="004872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3D7657"/>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73CF1612"/>
    <w:multiLevelType w:val="hybridMultilevel"/>
    <w:tmpl w:val="5B02BD1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74AA781E"/>
    <w:multiLevelType w:val="hybridMultilevel"/>
    <w:tmpl w:val="AE2C6C88"/>
    <w:lvl w:ilvl="0" w:tplc="04080001">
      <w:start w:val="1"/>
      <w:numFmt w:val="bullet"/>
      <w:lvlText w:val=""/>
      <w:lvlJc w:val="left"/>
      <w:pPr>
        <w:ind w:left="1140" w:hanging="360"/>
      </w:pPr>
      <w:rPr>
        <w:rFonts w:ascii="Symbol" w:hAnsi="Symbol" w:hint="default"/>
      </w:rPr>
    </w:lvl>
    <w:lvl w:ilvl="1" w:tplc="04080003">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num w:numId="1" w16cid:durableId="1342464527">
    <w:abstractNumId w:val="2"/>
  </w:num>
  <w:num w:numId="2" w16cid:durableId="1818380014">
    <w:abstractNumId w:val="1"/>
  </w:num>
  <w:num w:numId="3" w16cid:durableId="1313413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53"/>
    <w:rsid w:val="000C7601"/>
    <w:rsid w:val="001E3B37"/>
    <w:rsid w:val="002476C3"/>
    <w:rsid w:val="003D7724"/>
    <w:rsid w:val="00455436"/>
    <w:rsid w:val="004872A4"/>
    <w:rsid w:val="007D3F20"/>
    <w:rsid w:val="009F5903"/>
    <w:rsid w:val="00A32C53"/>
    <w:rsid w:val="00B04E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411B8"/>
  <w15:chartTrackingRefBased/>
  <w15:docId w15:val="{9C9B8C2C-E23F-423B-A5A6-2B721C2D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C53"/>
    <w:pPr>
      <w:spacing w:after="0" w:line="240" w:lineRule="auto"/>
    </w:pPr>
    <w:rPr>
      <w:rFonts w:ascii="Times New Roman" w:eastAsia="Times New Roman" w:hAnsi="Times New Roman" w:cs="Times New Roman"/>
      <w:sz w:val="24"/>
      <w:szCs w:val="24"/>
      <w:lang w:val="en-GB"/>
    </w:rPr>
  </w:style>
  <w:style w:type="paragraph" w:styleId="1">
    <w:name w:val="heading 1"/>
    <w:basedOn w:val="a"/>
    <w:next w:val="a"/>
    <w:link w:val="1Char"/>
    <w:qFormat/>
    <w:rsid w:val="00A32C53"/>
    <w:pPr>
      <w:keepNext/>
      <w:spacing w:line="360" w:lineRule="auto"/>
      <w:outlineLvl w:val="0"/>
    </w:pPr>
    <w:rPr>
      <w:b/>
      <w:bCs/>
      <w:sz w:val="4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A32C53"/>
    <w:rPr>
      <w:rFonts w:ascii="Times New Roman" w:eastAsia="Times New Roman" w:hAnsi="Times New Roman" w:cs="Times New Roman"/>
      <w:b/>
      <w:bCs/>
      <w:sz w:val="40"/>
      <w:szCs w:val="24"/>
    </w:rPr>
  </w:style>
  <w:style w:type="paragraph" w:styleId="2">
    <w:name w:val="Body Text 2"/>
    <w:basedOn w:val="a"/>
    <w:link w:val="2Char"/>
    <w:rsid w:val="00A32C53"/>
    <w:pPr>
      <w:spacing w:after="120" w:line="480" w:lineRule="auto"/>
    </w:pPr>
  </w:style>
  <w:style w:type="character" w:customStyle="1" w:styleId="2Char">
    <w:name w:val="Σώμα κείμενου 2 Char"/>
    <w:basedOn w:val="a0"/>
    <w:link w:val="2"/>
    <w:rsid w:val="00A32C53"/>
    <w:rPr>
      <w:rFonts w:ascii="Times New Roman" w:eastAsia="Times New Roman" w:hAnsi="Times New Roman" w:cs="Times New Roman"/>
      <w:sz w:val="24"/>
      <w:szCs w:val="24"/>
      <w:lang w:val="en-GB"/>
    </w:rPr>
  </w:style>
  <w:style w:type="paragraph" w:customStyle="1" w:styleId="10">
    <w:name w:val="Παράγραφος λίστας1"/>
    <w:basedOn w:val="a"/>
    <w:rsid w:val="009F5903"/>
    <w:pPr>
      <w:ind w:left="720"/>
    </w:pPr>
    <w:rPr>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531</Words>
  <Characters>2869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TZOVAS</dc:creator>
  <cp:keywords/>
  <dc:description/>
  <cp:lastModifiedBy>CHRISTOS TZOVAS</cp:lastModifiedBy>
  <cp:revision>3</cp:revision>
  <dcterms:created xsi:type="dcterms:W3CDTF">2025-04-04T14:23:00Z</dcterms:created>
  <dcterms:modified xsi:type="dcterms:W3CDTF">2025-04-04T15:26:00Z</dcterms:modified>
</cp:coreProperties>
</file>