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D0A8F" w14:textId="77777777" w:rsidR="00D83DB3" w:rsidRPr="00AF2EBB" w:rsidRDefault="00D83DB3" w:rsidP="00D83DB3">
      <w:pPr>
        <w:tabs>
          <w:tab w:val="left" w:pos="426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AF2EBB"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ΥΠΟΧΡΕΩΣΕΙΣ</w:t>
      </w:r>
    </w:p>
    <w:p w14:paraId="6ECF01BB" w14:textId="77777777" w:rsidR="00806823" w:rsidRPr="00806823" w:rsidRDefault="00806823" w:rsidP="00806823">
      <w:pPr>
        <w:ind w:left="360"/>
        <w:rPr>
          <w:rFonts w:asciiTheme="minorHAnsi" w:hAnsiTheme="minorHAnsi" w:cstheme="minorHAnsi"/>
          <w:sz w:val="22"/>
          <w:szCs w:val="22"/>
          <w:lang w:val="el-GR"/>
        </w:rPr>
      </w:pPr>
      <w:r w:rsidRPr="00806823">
        <w:rPr>
          <w:rFonts w:asciiTheme="minorHAnsi" w:hAnsiTheme="minorHAnsi" w:cstheme="minorHAnsi"/>
          <w:sz w:val="22"/>
          <w:szCs w:val="22"/>
          <w:lang w:val="el-GR"/>
        </w:rPr>
        <w:t>Ομαδοποιούνται σε μακροπρόθεσμες ή βραχυπρόθεσμες ακολουθώντας ένα από τα παρακάτω κριτήρια:</w:t>
      </w:r>
    </w:p>
    <w:p w14:paraId="16824937" w14:textId="77777777" w:rsidR="00806823" w:rsidRPr="00806823" w:rsidRDefault="00806823" w:rsidP="00806823">
      <w:pPr>
        <w:ind w:left="360"/>
        <w:rPr>
          <w:rFonts w:asciiTheme="minorHAnsi" w:hAnsiTheme="minorHAnsi" w:cstheme="minorHAnsi"/>
          <w:sz w:val="22"/>
          <w:szCs w:val="22"/>
          <w:lang w:val="el-GR"/>
        </w:rPr>
      </w:pPr>
      <w:r w:rsidRPr="00806823">
        <w:rPr>
          <w:rFonts w:asciiTheme="minorHAnsi" w:hAnsiTheme="minorHAnsi" w:cstheme="minorHAnsi"/>
          <w:sz w:val="22"/>
          <w:szCs w:val="22"/>
          <w:lang w:val="el-GR"/>
        </w:rPr>
        <w:t>α) τη ρευστότητα της επιχείρησης</w:t>
      </w:r>
    </w:p>
    <w:p w14:paraId="1F3F7436" w14:textId="77777777" w:rsidR="00806823" w:rsidRPr="00806823" w:rsidRDefault="00806823" w:rsidP="00806823">
      <w:pPr>
        <w:ind w:left="360"/>
        <w:rPr>
          <w:rFonts w:asciiTheme="minorHAnsi" w:hAnsiTheme="minorHAnsi" w:cstheme="minorHAnsi"/>
          <w:sz w:val="22"/>
          <w:szCs w:val="22"/>
          <w:lang w:val="el-GR"/>
        </w:rPr>
      </w:pPr>
      <w:r w:rsidRPr="00806823">
        <w:rPr>
          <w:rFonts w:asciiTheme="minorHAnsi" w:hAnsiTheme="minorHAnsi" w:cstheme="minorHAnsi"/>
          <w:sz w:val="22"/>
          <w:szCs w:val="22"/>
          <w:lang w:val="el-GR"/>
        </w:rPr>
        <w:t>β) τη διάρκεια του παραγωγικού της κυκλώματος</w:t>
      </w:r>
    </w:p>
    <w:p w14:paraId="5B5B35DB" w14:textId="77777777" w:rsidR="00806823" w:rsidRPr="00806823" w:rsidRDefault="00806823" w:rsidP="00806823">
      <w:pPr>
        <w:numPr>
          <w:ilvl w:val="0"/>
          <w:numId w:val="18"/>
        </w:numPr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806823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Μακροπρόθεσμες </w:t>
      </w:r>
      <w:r w:rsidRPr="00806823">
        <w:rPr>
          <w:rFonts w:asciiTheme="minorHAnsi" w:hAnsiTheme="minorHAnsi" w:cstheme="minorHAnsi"/>
          <w:sz w:val="22"/>
          <w:szCs w:val="22"/>
          <w:lang w:val="el-GR"/>
        </w:rPr>
        <w:t>είναι οι υποχρεώσεις (απαιτήσεις) για τις οποίες η προθεσμία εξόφλησης (είσπραξης)  λήγει μετά από το τέλος  της επόμενης χρήσεως</w:t>
      </w:r>
      <w:r w:rsidRPr="00806823">
        <w:rPr>
          <w:rFonts w:asciiTheme="minorHAnsi" w:hAnsiTheme="minorHAnsi" w:cstheme="minorHAnsi"/>
          <w:b/>
          <w:bCs/>
          <w:sz w:val="22"/>
          <w:szCs w:val="22"/>
          <w:lang w:val="el-GR"/>
        </w:rPr>
        <w:t>.</w:t>
      </w:r>
    </w:p>
    <w:p w14:paraId="552E00C7" w14:textId="77777777" w:rsidR="00806823" w:rsidRPr="00806823" w:rsidRDefault="00806823" w:rsidP="00806823">
      <w:pPr>
        <w:numPr>
          <w:ilvl w:val="0"/>
          <w:numId w:val="18"/>
        </w:numPr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806823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Βραχυπρόθεσμες </w:t>
      </w:r>
      <w:r w:rsidRPr="00806823">
        <w:rPr>
          <w:rFonts w:asciiTheme="minorHAnsi" w:hAnsiTheme="minorHAnsi" w:cstheme="minorHAnsi"/>
          <w:sz w:val="22"/>
          <w:szCs w:val="22"/>
          <w:lang w:val="el-GR"/>
        </w:rPr>
        <w:t>είναι οι υποχρεώσεις (απαιτήσεις) που, κατά το κλείσιμο του ισολογισμού είναι πληρωτέες (εισπρακτέες) μέσα στη χρήση που ακολουθεί</w:t>
      </w:r>
      <w:r w:rsidRPr="00806823">
        <w:rPr>
          <w:rFonts w:asciiTheme="minorHAnsi" w:hAnsiTheme="minorHAnsi" w:cstheme="minorHAnsi"/>
          <w:b/>
          <w:bCs/>
          <w:sz w:val="22"/>
          <w:szCs w:val="22"/>
          <w:lang w:val="el-GR"/>
        </w:rPr>
        <w:t>.</w:t>
      </w:r>
    </w:p>
    <w:p w14:paraId="3B2AFACC" w14:textId="77777777" w:rsidR="00635464" w:rsidRPr="00AF2EBB" w:rsidRDefault="00635464" w:rsidP="00635464">
      <w:pPr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7AE43ED8" w14:textId="77777777" w:rsidR="00D83DB3" w:rsidRPr="00AF2EBB" w:rsidRDefault="00D83DB3" w:rsidP="00D83DB3">
      <w:pPr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AF2EBB">
        <w:rPr>
          <w:rFonts w:asciiTheme="minorHAnsi" w:hAnsiTheme="minorHAnsi" w:cstheme="minorHAnsi"/>
          <w:b/>
          <w:bCs/>
          <w:sz w:val="22"/>
          <w:szCs w:val="22"/>
          <w:lang w:val="el-GR"/>
        </w:rPr>
        <w:t>Βραχυπρόθεσμες Υποχρεώσεις</w:t>
      </w:r>
    </w:p>
    <w:p w14:paraId="751E2176" w14:textId="77777777" w:rsidR="00806823" w:rsidRPr="00806823" w:rsidRDefault="00806823" w:rsidP="00806823">
      <w:pPr>
        <w:tabs>
          <w:tab w:val="left" w:pos="426"/>
        </w:tabs>
        <w:rPr>
          <w:rFonts w:asciiTheme="minorHAnsi" w:hAnsiTheme="minorHAnsi" w:cstheme="minorHAnsi"/>
          <w:sz w:val="22"/>
          <w:szCs w:val="22"/>
          <w:lang w:val="el-GR"/>
        </w:rPr>
      </w:pPr>
      <w:r w:rsidRPr="00806823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Βασικότερες κατηγορίες </w:t>
      </w:r>
    </w:p>
    <w:p w14:paraId="1FF6973E" w14:textId="77777777" w:rsidR="00806823" w:rsidRPr="00806823" w:rsidRDefault="00806823" w:rsidP="00806823">
      <w:pPr>
        <w:tabs>
          <w:tab w:val="left" w:pos="426"/>
        </w:tabs>
        <w:rPr>
          <w:rFonts w:asciiTheme="minorHAnsi" w:hAnsiTheme="minorHAnsi" w:cstheme="minorHAnsi"/>
          <w:sz w:val="22"/>
          <w:szCs w:val="22"/>
          <w:lang w:val="el-GR"/>
        </w:rPr>
      </w:pPr>
      <w:r w:rsidRPr="00806823">
        <w:rPr>
          <w:rFonts w:asciiTheme="minorHAnsi" w:hAnsiTheme="minorHAnsi" w:cstheme="minorHAnsi"/>
          <w:sz w:val="22"/>
          <w:szCs w:val="22"/>
          <w:lang w:val="el-GR"/>
        </w:rPr>
        <w:t>- υποχρεώσεις προς προμηθευτές</w:t>
      </w:r>
    </w:p>
    <w:p w14:paraId="5214E43D" w14:textId="77777777" w:rsidR="00806823" w:rsidRPr="00806823" w:rsidRDefault="00806823" w:rsidP="00806823">
      <w:pPr>
        <w:tabs>
          <w:tab w:val="left" w:pos="426"/>
        </w:tabs>
        <w:rPr>
          <w:rFonts w:asciiTheme="minorHAnsi" w:hAnsiTheme="minorHAnsi" w:cstheme="minorHAnsi"/>
          <w:sz w:val="22"/>
          <w:szCs w:val="22"/>
          <w:lang w:val="el-GR"/>
        </w:rPr>
      </w:pPr>
      <w:r w:rsidRPr="00806823">
        <w:rPr>
          <w:rFonts w:asciiTheme="minorHAnsi" w:hAnsiTheme="minorHAnsi" w:cstheme="minorHAnsi"/>
          <w:sz w:val="22"/>
          <w:szCs w:val="22"/>
          <w:lang w:val="el-GR"/>
        </w:rPr>
        <w:t>- γραμμάτια πληρωτέα,</w:t>
      </w:r>
    </w:p>
    <w:p w14:paraId="0684D347" w14:textId="77777777" w:rsidR="00806823" w:rsidRPr="00806823" w:rsidRDefault="00806823" w:rsidP="00806823">
      <w:pPr>
        <w:tabs>
          <w:tab w:val="left" w:pos="426"/>
        </w:tabs>
        <w:rPr>
          <w:rFonts w:asciiTheme="minorHAnsi" w:hAnsiTheme="minorHAnsi" w:cstheme="minorHAnsi"/>
          <w:sz w:val="22"/>
          <w:szCs w:val="22"/>
          <w:lang w:val="el-GR"/>
        </w:rPr>
      </w:pPr>
      <w:r w:rsidRPr="00806823">
        <w:rPr>
          <w:rFonts w:asciiTheme="minorHAnsi" w:hAnsiTheme="minorHAnsi" w:cstheme="minorHAnsi"/>
          <w:sz w:val="22"/>
          <w:szCs w:val="22"/>
          <w:lang w:val="el-GR"/>
        </w:rPr>
        <w:t>- βραχυχρόνια τραπεζικά δάνεια,</w:t>
      </w:r>
    </w:p>
    <w:p w14:paraId="30A9F979" w14:textId="77777777" w:rsidR="00806823" w:rsidRPr="00806823" w:rsidRDefault="00806823" w:rsidP="00806823">
      <w:pPr>
        <w:tabs>
          <w:tab w:val="left" w:pos="426"/>
        </w:tabs>
        <w:rPr>
          <w:rFonts w:asciiTheme="minorHAnsi" w:hAnsiTheme="minorHAnsi" w:cstheme="minorHAnsi"/>
          <w:sz w:val="22"/>
          <w:szCs w:val="22"/>
          <w:lang w:val="el-GR"/>
        </w:rPr>
      </w:pPr>
      <w:r w:rsidRPr="00806823">
        <w:rPr>
          <w:rFonts w:asciiTheme="minorHAnsi" w:hAnsiTheme="minorHAnsi" w:cstheme="minorHAnsi"/>
          <w:sz w:val="22"/>
          <w:szCs w:val="22"/>
          <w:lang w:val="el-GR"/>
        </w:rPr>
        <w:t>- οφειλόμενοι μισθοί,</w:t>
      </w:r>
    </w:p>
    <w:p w14:paraId="03D47705" w14:textId="77777777" w:rsidR="00806823" w:rsidRPr="00806823" w:rsidRDefault="00806823" w:rsidP="00806823">
      <w:pPr>
        <w:tabs>
          <w:tab w:val="left" w:pos="426"/>
        </w:tabs>
        <w:rPr>
          <w:rFonts w:asciiTheme="minorHAnsi" w:hAnsiTheme="minorHAnsi" w:cstheme="minorHAnsi"/>
          <w:sz w:val="22"/>
          <w:szCs w:val="22"/>
          <w:lang w:val="el-GR"/>
        </w:rPr>
      </w:pPr>
      <w:r w:rsidRPr="00806823">
        <w:rPr>
          <w:rFonts w:asciiTheme="minorHAnsi" w:hAnsiTheme="minorHAnsi" w:cstheme="minorHAnsi"/>
          <w:sz w:val="22"/>
          <w:szCs w:val="22"/>
          <w:lang w:val="el-GR"/>
        </w:rPr>
        <w:t>- υποχρεώσεις προς ασφαλιστικούς οργανισμούς,</w:t>
      </w:r>
    </w:p>
    <w:p w14:paraId="08E6A90D" w14:textId="77777777" w:rsidR="00806823" w:rsidRPr="00806823" w:rsidRDefault="00806823" w:rsidP="00806823">
      <w:pPr>
        <w:tabs>
          <w:tab w:val="left" w:pos="426"/>
        </w:tabs>
        <w:rPr>
          <w:rFonts w:asciiTheme="minorHAnsi" w:hAnsiTheme="minorHAnsi" w:cstheme="minorHAnsi"/>
          <w:sz w:val="22"/>
          <w:szCs w:val="22"/>
          <w:lang w:val="el-GR"/>
        </w:rPr>
      </w:pPr>
      <w:r w:rsidRPr="00806823">
        <w:rPr>
          <w:rFonts w:asciiTheme="minorHAnsi" w:hAnsiTheme="minorHAnsi" w:cstheme="minorHAnsi"/>
          <w:sz w:val="22"/>
          <w:szCs w:val="22"/>
          <w:lang w:val="el-GR"/>
        </w:rPr>
        <w:t>- φόροι πληρωτέοι,</w:t>
      </w:r>
    </w:p>
    <w:p w14:paraId="13F00DF9" w14:textId="77777777" w:rsidR="00806823" w:rsidRPr="00806823" w:rsidRDefault="00806823" w:rsidP="00806823">
      <w:pPr>
        <w:tabs>
          <w:tab w:val="left" w:pos="426"/>
        </w:tabs>
        <w:rPr>
          <w:rFonts w:asciiTheme="minorHAnsi" w:hAnsiTheme="minorHAnsi" w:cstheme="minorHAnsi"/>
          <w:sz w:val="22"/>
          <w:szCs w:val="22"/>
          <w:lang w:val="el-GR"/>
        </w:rPr>
      </w:pPr>
      <w:r w:rsidRPr="00806823">
        <w:rPr>
          <w:rFonts w:asciiTheme="minorHAnsi" w:hAnsiTheme="minorHAnsi" w:cstheme="minorHAnsi"/>
          <w:sz w:val="22"/>
          <w:szCs w:val="22"/>
          <w:lang w:val="el-GR"/>
        </w:rPr>
        <w:t>- μερίσματα πληρωτέα,</w:t>
      </w:r>
    </w:p>
    <w:p w14:paraId="7B54D069" w14:textId="77777777" w:rsidR="00806823" w:rsidRPr="00806823" w:rsidRDefault="00806823" w:rsidP="00806823">
      <w:pPr>
        <w:tabs>
          <w:tab w:val="left" w:pos="426"/>
        </w:tabs>
        <w:rPr>
          <w:rFonts w:asciiTheme="minorHAnsi" w:hAnsiTheme="minorHAnsi" w:cstheme="minorHAnsi"/>
          <w:sz w:val="22"/>
          <w:szCs w:val="22"/>
          <w:lang w:val="el-GR"/>
        </w:rPr>
      </w:pPr>
      <w:r w:rsidRPr="00806823">
        <w:rPr>
          <w:rFonts w:asciiTheme="minorHAnsi" w:hAnsiTheme="minorHAnsi" w:cstheme="minorHAnsi"/>
          <w:sz w:val="22"/>
          <w:szCs w:val="22"/>
          <w:lang w:val="el-GR"/>
        </w:rPr>
        <w:t>- λοιποί πιστωτές,</w:t>
      </w:r>
    </w:p>
    <w:p w14:paraId="7FCC4CDE" w14:textId="77777777" w:rsidR="00806823" w:rsidRPr="00806823" w:rsidRDefault="00806823" w:rsidP="00806823">
      <w:pPr>
        <w:tabs>
          <w:tab w:val="left" w:pos="426"/>
        </w:tabs>
        <w:rPr>
          <w:rFonts w:asciiTheme="minorHAnsi" w:hAnsiTheme="minorHAnsi" w:cstheme="minorHAnsi"/>
          <w:sz w:val="22"/>
          <w:szCs w:val="22"/>
          <w:lang w:val="el-GR"/>
        </w:rPr>
      </w:pPr>
      <w:r w:rsidRPr="00806823">
        <w:rPr>
          <w:rFonts w:asciiTheme="minorHAnsi" w:hAnsiTheme="minorHAnsi" w:cstheme="minorHAnsi"/>
          <w:sz w:val="22"/>
          <w:szCs w:val="22"/>
          <w:lang w:val="el-GR"/>
        </w:rPr>
        <w:t>- οι βραχυπρόθεσμες δόσεις των μακροπρόθεσμων υποχρεώσεων,</w:t>
      </w:r>
    </w:p>
    <w:p w14:paraId="5BADE33F" w14:textId="77777777" w:rsidR="00806823" w:rsidRPr="00806823" w:rsidRDefault="00806823" w:rsidP="00806823">
      <w:pPr>
        <w:tabs>
          <w:tab w:val="left" w:pos="426"/>
        </w:tabs>
        <w:rPr>
          <w:rFonts w:asciiTheme="minorHAnsi" w:hAnsiTheme="minorHAnsi" w:cstheme="minorHAnsi"/>
          <w:sz w:val="22"/>
          <w:szCs w:val="22"/>
          <w:lang w:val="el-GR"/>
        </w:rPr>
      </w:pPr>
      <w:r w:rsidRPr="00806823">
        <w:rPr>
          <w:rFonts w:asciiTheme="minorHAnsi" w:hAnsiTheme="minorHAnsi" w:cstheme="minorHAnsi"/>
          <w:sz w:val="22"/>
          <w:szCs w:val="22"/>
          <w:lang w:val="el-GR"/>
        </w:rPr>
        <w:t>- τα δουλευμένα έξοδα χρήσεως,</w:t>
      </w:r>
    </w:p>
    <w:p w14:paraId="38F3D8CE" w14:textId="77777777" w:rsidR="00806823" w:rsidRPr="00806823" w:rsidRDefault="00806823" w:rsidP="00806823">
      <w:pPr>
        <w:tabs>
          <w:tab w:val="left" w:pos="426"/>
        </w:tabs>
        <w:rPr>
          <w:rFonts w:asciiTheme="minorHAnsi" w:hAnsiTheme="minorHAnsi" w:cstheme="minorHAnsi"/>
          <w:sz w:val="22"/>
          <w:szCs w:val="22"/>
          <w:lang w:val="el-GR"/>
        </w:rPr>
      </w:pPr>
      <w:r w:rsidRPr="00806823">
        <w:rPr>
          <w:rFonts w:asciiTheme="minorHAnsi" w:hAnsiTheme="minorHAnsi" w:cstheme="minorHAnsi"/>
          <w:sz w:val="22"/>
          <w:szCs w:val="22"/>
          <w:lang w:val="el-GR"/>
        </w:rPr>
        <w:t>- τα έσοδα επομένων χρήσεων (προεισπραγμένα),</w:t>
      </w:r>
    </w:p>
    <w:p w14:paraId="7DD12668" w14:textId="77777777" w:rsidR="00806823" w:rsidRPr="00806823" w:rsidRDefault="00806823" w:rsidP="00806823">
      <w:pPr>
        <w:tabs>
          <w:tab w:val="left" w:pos="426"/>
        </w:tabs>
        <w:rPr>
          <w:rFonts w:asciiTheme="minorHAnsi" w:hAnsiTheme="minorHAnsi" w:cstheme="minorHAnsi"/>
          <w:sz w:val="22"/>
          <w:szCs w:val="22"/>
          <w:lang w:val="el-GR"/>
        </w:rPr>
      </w:pPr>
      <w:r w:rsidRPr="00806823">
        <w:rPr>
          <w:rFonts w:asciiTheme="minorHAnsi" w:hAnsiTheme="minorHAnsi" w:cstheme="minorHAnsi"/>
          <w:sz w:val="22"/>
          <w:szCs w:val="22"/>
          <w:lang w:val="el-GR"/>
        </w:rPr>
        <w:t>- προβλέψεις για κινδύνους και έξοδα (βραχυπρόθεσμες)</w:t>
      </w:r>
    </w:p>
    <w:p w14:paraId="214BE366" w14:textId="77777777" w:rsidR="00D83DB3" w:rsidRPr="00AF2EBB" w:rsidRDefault="00D83DB3" w:rsidP="00D83DB3">
      <w:pPr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775F8E80" w14:textId="77777777" w:rsidR="00D83DB3" w:rsidRPr="00AF2EBB" w:rsidRDefault="00D83DB3" w:rsidP="00D83DB3">
      <w:pPr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AF2EBB">
        <w:rPr>
          <w:rFonts w:asciiTheme="minorHAnsi" w:hAnsiTheme="minorHAnsi" w:cstheme="minorHAnsi"/>
          <w:b/>
          <w:bCs/>
          <w:sz w:val="22"/>
          <w:szCs w:val="22"/>
          <w:lang w:val="el-GR"/>
        </w:rPr>
        <w:t>Άσκηση 1</w:t>
      </w:r>
    </w:p>
    <w:p w14:paraId="27EACB86" w14:textId="77777777" w:rsidR="00D83DB3" w:rsidRPr="00AF2EBB" w:rsidRDefault="00D83DB3" w:rsidP="00D83DB3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AF2EBB">
        <w:rPr>
          <w:rFonts w:asciiTheme="minorHAnsi" w:hAnsiTheme="minorHAnsi" w:cstheme="minorHAnsi"/>
          <w:sz w:val="22"/>
          <w:szCs w:val="22"/>
          <w:lang w:val="el-GR"/>
        </w:rPr>
        <w:tab/>
        <w:t>Αγορά εμπορευμάτων την 13/7/20Χ9 με πίστωση, από προμηθευτές εσωτερικού αντί 150.000 € και από προμηθευτές εξωτερικού προς $150.000 όταν $ = € 1,10. Την 23/9/20Χ9 ο προμηθευτής εσωτερικού μας χρεώνει με τόκους 40.000 €. Στις 15/10/20Χ9 καταβάλλονται $ 100.000 στους προμηθευτές εξωτερικού με ισοτιμία $ = € 1,17. Στην απογραφή της 31/12/20Χ9 διαπιστώνεται ότι $ = € 0,98. Οι προμηθευτές εξωτερικού εξοφλούνται στις 15/2/20Χ10 με ισοτιμία $ = € 0,92. Ζητούνται οι σχετικές ημερολογιακές εγγραφές.</w:t>
      </w:r>
    </w:p>
    <w:p w14:paraId="758E9371" w14:textId="77777777" w:rsidR="00D83DB3" w:rsidRPr="00AF2EBB" w:rsidRDefault="00D83DB3" w:rsidP="00D83DB3">
      <w:pPr>
        <w:pStyle w:val="Heading1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9BB45FE" w14:textId="77777777" w:rsidR="00D83DB3" w:rsidRPr="00AF2EBB" w:rsidRDefault="00D83DB3" w:rsidP="00D83DB3">
      <w:pPr>
        <w:pStyle w:val="Heading1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F2EBB">
        <w:rPr>
          <w:rFonts w:asciiTheme="minorHAnsi" w:hAnsiTheme="minorHAnsi" w:cstheme="minorHAnsi"/>
          <w:b/>
          <w:bCs/>
          <w:sz w:val="22"/>
          <w:szCs w:val="22"/>
        </w:rPr>
        <w:t>Άσκηση 2</w:t>
      </w:r>
    </w:p>
    <w:p w14:paraId="20790980" w14:textId="70FD19CD" w:rsidR="00D83DB3" w:rsidRPr="00AF2EBB" w:rsidRDefault="00D83DB3" w:rsidP="00D83DB3">
      <w:pPr>
        <w:tabs>
          <w:tab w:val="left" w:pos="426"/>
        </w:tabs>
        <w:rPr>
          <w:rFonts w:asciiTheme="minorHAnsi" w:hAnsiTheme="minorHAnsi" w:cstheme="minorHAnsi"/>
          <w:sz w:val="22"/>
          <w:szCs w:val="22"/>
          <w:lang w:val="el-GR"/>
        </w:rPr>
      </w:pPr>
      <w:r w:rsidRPr="00AF2EBB">
        <w:rPr>
          <w:rFonts w:asciiTheme="minorHAnsi" w:hAnsiTheme="minorHAnsi" w:cstheme="minorHAnsi"/>
          <w:sz w:val="22"/>
          <w:szCs w:val="22"/>
          <w:lang w:val="el-GR"/>
        </w:rPr>
        <w:tab/>
        <w:t>Αγορά εμπορευμάτων την 1/12/20Χ0 αξίας 59.000 € έναντι γραμματίων. Εκδίδεται γραμμάτιο ονομαστικής αξίας 65.000 € και λήξεως 31/</w:t>
      </w:r>
      <w:r w:rsidR="00526E40" w:rsidRPr="00806823">
        <w:rPr>
          <w:rFonts w:asciiTheme="minorHAnsi" w:hAnsiTheme="minorHAnsi" w:cstheme="minorHAnsi"/>
          <w:sz w:val="22"/>
          <w:szCs w:val="22"/>
          <w:lang w:val="el-GR"/>
        </w:rPr>
        <w:t>3</w:t>
      </w:r>
      <w:r w:rsidRPr="00AF2EBB">
        <w:rPr>
          <w:rFonts w:asciiTheme="minorHAnsi" w:hAnsiTheme="minorHAnsi" w:cstheme="minorHAnsi"/>
          <w:sz w:val="22"/>
          <w:szCs w:val="22"/>
          <w:lang w:val="el-GR"/>
        </w:rPr>
        <w:t>/20Χ1. Ζητούνται οι σχετικές ημερολογιακές εγγραφές.</w:t>
      </w:r>
    </w:p>
    <w:p w14:paraId="5E6E4073" w14:textId="77777777" w:rsidR="00D83DB3" w:rsidRPr="00AF2EBB" w:rsidRDefault="00D83DB3" w:rsidP="00D83DB3">
      <w:pPr>
        <w:tabs>
          <w:tab w:val="left" w:pos="426"/>
        </w:tabs>
        <w:rPr>
          <w:rFonts w:asciiTheme="minorHAnsi" w:hAnsiTheme="minorHAnsi" w:cstheme="minorHAnsi"/>
          <w:sz w:val="22"/>
          <w:szCs w:val="22"/>
          <w:lang w:val="el-GR"/>
        </w:rPr>
      </w:pPr>
    </w:p>
    <w:p w14:paraId="259DB731" w14:textId="77777777" w:rsidR="00806823" w:rsidRDefault="00806823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  <w:lang w:val="el-GR"/>
        </w:rPr>
      </w:pPr>
      <w:r>
        <w:rPr>
          <w:rFonts w:asciiTheme="minorHAnsi" w:hAnsiTheme="minorHAnsi" w:cstheme="minorHAnsi"/>
          <w:b/>
          <w:sz w:val="28"/>
          <w:szCs w:val="28"/>
          <w:lang w:val="el-GR"/>
        </w:rPr>
        <w:br w:type="page"/>
      </w:r>
    </w:p>
    <w:p w14:paraId="46AB6A85" w14:textId="3A428965" w:rsidR="00D83DB3" w:rsidRPr="00425EF5" w:rsidRDefault="00D83DB3" w:rsidP="00D83DB3">
      <w:pPr>
        <w:pStyle w:val="Footer"/>
        <w:tabs>
          <w:tab w:val="clear" w:pos="4819"/>
          <w:tab w:val="clear" w:pos="9071"/>
          <w:tab w:val="left" w:pos="426"/>
        </w:tabs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425EF5">
        <w:rPr>
          <w:rFonts w:asciiTheme="minorHAnsi" w:hAnsiTheme="minorHAnsi" w:cstheme="minorHAnsi"/>
          <w:b/>
          <w:sz w:val="28"/>
          <w:szCs w:val="28"/>
          <w:lang w:val="el-GR"/>
        </w:rPr>
        <w:lastRenderedPageBreak/>
        <w:t>Μακροπρόθεσμες Υποχρεώσεις</w:t>
      </w:r>
    </w:p>
    <w:p w14:paraId="69D635C1" w14:textId="37F82EA2" w:rsidR="00425EF5" w:rsidRDefault="00425EF5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48C66F1C" w14:textId="77777777" w:rsidR="00D83DB3" w:rsidRPr="00AF2EBB" w:rsidRDefault="00D83DB3" w:rsidP="00D83DB3">
      <w:pPr>
        <w:pStyle w:val="Heading3"/>
        <w:rPr>
          <w:rFonts w:asciiTheme="minorHAnsi" w:hAnsiTheme="minorHAnsi" w:cstheme="minorHAnsi"/>
          <w:color w:val="auto"/>
          <w:sz w:val="22"/>
          <w:szCs w:val="22"/>
          <w:lang w:val="el-GR"/>
        </w:rPr>
      </w:pPr>
      <w:r w:rsidRPr="00AF2EBB">
        <w:rPr>
          <w:rFonts w:asciiTheme="minorHAnsi" w:hAnsiTheme="minorHAnsi" w:cstheme="minorHAnsi"/>
          <w:color w:val="auto"/>
          <w:sz w:val="22"/>
          <w:szCs w:val="22"/>
          <w:lang w:val="el-GR"/>
        </w:rPr>
        <w:t>Ομολογιακά Δάνεια</w:t>
      </w:r>
    </w:p>
    <w:p w14:paraId="7FA16168" w14:textId="2BEB0C1B" w:rsidR="00D83DB3" w:rsidRPr="00AF2EBB" w:rsidRDefault="00D83DB3" w:rsidP="00D83DB3">
      <w:pPr>
        <w:pStyle w:val="Heading3"/>
        <w:rPr>
          <w:rFonts w:asciiTheme="minorHAnsi" w:hAnsiTheme="minorHAnsi" w:cstheme="minorHAnsi"/>
          <w:b w:val="0"/>
          <w:color w:val="auto"/>
          <w:sz w:val="22"/>
          <w:szCs w:val="22"/>
          <w:lang w:val="el-GR"/>
        </w:rPr>
      </w:pPr>
      <w:r w:rsidRPr="00AF2EBB">
        <w:rPr>
          <w:rFonts w:asciiTheme="minorHAnsi" w:hAnsiTheme="minorHAnsi" w:cstheme="minorHAnsi"/>
          <w:color w:val="auto"/>
          <w:sz w:val="22"/>
          <w:szCs w:val="22"/>
          <w:lang w:val="el-GR"/>
        </w:rPr>
        <w:t>α) Μέθοδος Σταθερής Απόσβεσης</w:t>
      </w:r>
      <w:r w:rsidRPr="00AF2EBB">
        <w:rPr>
          <w:rFonts w:asciiTheme="minorHAnsi" w:hAnsiTheme="minorHAnsi" w:cstheme="minorHAnsi"/>
          <w:b w:val="0"/>
          <w:color w:val="auto"/>
          <w:sz w:val="22"/>
          <w:szCs w:val="22"/>
          <w:lang w:val="el-GR"/>
        </w:rPr>
        <w:t xml:space="preserve">. Η διαφορά από την υπέρ το άρτιο έκδοση ομολογιών αναγνωρίζεται </w:t>
      </w:r>
      <w:r w:rsidR="00806823">
        <w:rPr>
          <w:rFonts w:asciiTheme="minorHAnsi" w:hAnsiTheme="minorHAnsi" w:cstheme="minorHAnsi"/>
          <w:b w:val="0"/>
          <w:color w:val="auto"/>
          <w:sz w:val="22"/>
          <w:szCs w:val="22"/>
          <w:lang w:val="el-GR"/>
        </w:rPr>
        <w:t>στο ενεργητικό</w:t>
      </w:r>
      <w:r w:rsidRPr="00AF2EBB">
        <w:rPr>
          <w:rFonts w:asciiTheme="minorHAnsi" w:hAnsiTheme="minorHAnsi" w:cstheme="minorHAnsi"/>
          <w:b w:val="0"/>
          <w:color w:val="auto"/>
          <w:sz w:val="22"/>
          <w:szCs w:val="22"/>
          <w:lang w:val="el-GR"/>
        </w:rPr>
        <w:t xml:space="preserve"> και αποσβένεται μέσα στο χρόνο αποπληρωμής της ομολογίας. </w:t>
      </w:r>
    </w:p>
    <w:p w14:paraId="6D22C39F" w14:textId="77777777" w:rsidR="00D83DB3" w:rsidRPr="00AF2EBB" w:rsidRDefault="00D83DB3" w:rsidP="00D83DB3">
      <w:pPr>
        <w:pStyle w:val="Heading3"/>
        <w:rPr>
          <w:rFonts w:asciiTheme="minorHAnsi" w:hAnsiTheme="minorHAnsi" w:cstheme="minorHAnsi"/>
          <w:b w:val="0"/>
          <w:color w:val="auto"/>
          <w:sz w:val="22"/>
          <w:szCs w:val="22"/>
          <w:lang w:val="el-GR"/>
        </w:rPr>
      </w:pPr>
      <w:r w:rsidRPr="00AF2EBB">
        <w:rPr>
          <w:rFonts w:asciiTheme="minorHAnsi" w:hAnsiTheme="minorHAnsi" w:cstheme="minorHAnsi"/>
          <w:b w:val="0"/>
          <w:color w:val="auto"/>
          <w:sz w:val="22"/>
          <w:szCs w:val="22"/>
          <w:lang w:val="el-GR"/>
        </w:rPr>
        <w:t>Το ετήσιο έξοδο από τόκους αποτελείται από το τοκομερίδιο και την απόσβεση της διαφοράς υπό το άρτιο. Είναι σταθερό σαν ποσό αλλά μεταβλητό σαν επιτόκιο.</w:t>
      </w:r>
    </w:p>
    <w:p w14:paraId="69B799E1" w14:textId="77777777" w:rsidR="00D83DB3" w:rsidRPr="00AF2EBB" w:rsidRDefault="00D83DB3" w:rsidP="00D83DB3">
      <w:pPr>
        <w:rPr>
          <w:rFonts w:asciiTheme="minorHAnsi" w:hAnsiTheme="minorHAnsi" w:cstheme="minorHAnsi"/>
          <w:sz w:val="22"/>
          <w:szCs w:val="22"/>
          <w:lang w:val="el-GR"/>
        </w:rPr>
      </w:pPr>
    </w:p>
    <w:p w14:paraId="439734F7" w14:textId="77777777" w:rsidR="00D83DB3" w:rsidRPr="00AF2EBB" w:rsidRDefault="00D83DB3" w:rsidP="00D83DB3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AF2EBB">
        <w:rPr>
          <w:rFonts w:asciiTheme="minorHAnsi" w:hAnsiTheme="minorHAnsi" w:cstheme="minorHAnsi"/>
          <w:sz w:val="22"/>
          <w:szCs w:val="22"/>
          <w:lang w:val="el-GR"/>
        </w:rPr>
        <w:t>Η μέθοδος σταθε</w:t>
      </w:r>
      <w:r w:rsidR="00635464" w:rsidRPr="00AF2EBB">
        <w:rPr>
          <w:rFonts w:asciiTheme="minorHAnsi" w:hAnsiTheme="minorHAnsi" w:cstheme="minorHAnsi"/>
          <w:sz w:val="22"/>
          <w:szCs w:val="22"/>
          <w:lang w:val="el-GR"/>
        </w:rPr>
        <w:t>ρής απόσβεσης υιοθετείται από τα Ελληνικά Λογιστικά Πρότυπα</w:t>
      </w:r>
    </w:p>
    <w:p w14:paraId="1AD7B49C" w14:textId="77777777" w:rsidR="00D83DB3" w:rsidRPr="00AF2EBB" w:rsidRDefault="00D83DB3" w:rsidP="00D83DB3">
      <w:pPr>
        <w:pStyle w:val="Heading3"/>
        <w:rPr>
          <w:rFonts w:asciiTheme="minorHAnsi" w:hAnsiTheme="minorHAnsi" w:cstheme="minorHAnsi"/>
          <w:b w:val="0"/>
          <w:color w:val="auto"/>
          <w:sz w:val="22"/>
          <w:szCs w:val="22"/>
          <w:lang w:val="el-GR"/>
        </w:rPr>
      </w:pPr>
      <w:r w:rsidRPr="00AF2EBB">
        <w:rPr>
          <w:rFonts w:asciiTheme="minorHAnsi" w:hAnsiTheme="minorHAnsi" w:cstheme="minorHAnsi"/>
          <w:color w:val="auto"/>
          <w:sz w:val="22"/>
          <w:szCs w:val="22"/>
          <w:lang w:val="el-GR"/>
        </w:rPr>
        <w:t>α) Μέθοδος Αποτελεσματικού Επιτοκίου</w:t>
      </w:r>
      <w:r w:rsidRPr="00AF2EBB">
        <w:rPr>
          <w:rFonts w:asciiTheme="minorHAnsi" w:hAnsiTheme="minorHAnsi" w:cstheme="minorHAnsi"/>
          <w:b w:val="0"/>
          <w:color w:val="auto"/>
          <w:sz w:val="22"/>
          <w:szCs w:val="22"/>
          <w:lang w:val="el-GR"/>
        </w:rPr>
        <w:t>. Αποτελεσματικό επιτόκιο είναι αυτό που μηδενίζει την Καθαρά Παρούσα Αξία της Ομολογίας</w:t>
      </w:r>
      <w:r w:rsidR="006F49A5" w:rsidRPr="00AF2EBB">
        <w:rPr>
          <w:rFonts w:asciiTheme="minorHAnsi" w:hAnsiTheme="minorHAnsi" w:cstheme="minorHAnsi"/>
          <w:b w:val="0"/>
          <w:color w:val="auto"/>
          <w:sz w:val="22"/>
          <w:szCs w:val="22"/>
          <w:lang w:val="el-GR"/>
        </w:rPr>
        <w:t xml:space="preserve"> και π</w:t>
      </w:r>
      <w:r w:rsidRPr="00AF2EBB">
        <w:rPr>
          <w:rFonts w:asciiTheme="minorHAnsi" w:hAnsiTheme="minorHAnsi" w:cstheme="minorHAnsi"/>
          <w:b w:val="0"/>
          <w:color w:val="auto"/>
          <w:sz w:val="22"/>
          <w:szCs w:val="22"/>
          <w:lang w:val="el-GR"/>
        </w:rPr>
        <w:t>ροσδιορίζεται με την έκδοση της.</w:t>
      </w:r>
      <w:r w:rsidR="006F49A5" w:rsidRPr="00AF2EBB">
        <w:rPr>
          <w:rFonts w:asciiTheme="minorHAnsi" w:hAnsiTheme="minorHAnsi" w:cstheme="minorHAnsi"/>
          <w:b w:val="0"/>
          <w:color w:val="auto"/>
          <w:sz w:val="22"/>
          <w:szCs w:val="22"/>
          <w:lang w:val="el-GR"/>
        </w:rPr>
        <w:t xml:space="preserve"> Το ποσό που αντλήθηκε με την έκδοσή της θεωρείται ότι τοκίζεται με το αποτελεσματικό επιτόκιο και προσαυξάνει την αξία της ομολογίας. Το τοκομερίδιο είναι η μοναδική πληρωμή προς τον ομολογιούχο αλλά δεν συμπίπτει με το έξοδο από τόκους της χρήσεως. </w:t>
      </w:r>
    </w:p>
    <w:p w14:paraId="60388615" w14:textId="77777777" w:rsidR="006F49A5" w:rsidRPr="00AF2EBB" w:rsidRDefault="00D83DB3" w:rsidP="00D83DB3">
      <w:pPr>
        <w:pStyle w:val="Heading3"/>
        <w:rPr>
          <w:rFonts w:asciiTheme="minorHAnsi" w:hAnsiTheme="minorHAnsi" w:cstheme="minorHAnsi"/>
          <w:b w:val="0"/>
          <w:color w:val="auto"/>
          <w:sz w:val="22"/>
          <w:szCs w:val="22"/>
          <w:lang w:val="el-GR"/>
        </w:rPr>
      </w:pPr>
      <w:r w:rsidRPr="00AF2EBB">
        <w:rPr>
          <w:rFonts w:asciiTheme="minorHAnsi" w:hAnsiTheme="minorHAnsi" w:cstheme="minorHAnsi"/>
          <w:b w:val="0"/>
          <w:color w:val="auto"/>
          <w:sz w:val="22"/>
          <w:szCs w:val="22"/>
          <w:lang w:val="el-GR"/>
        </w:rPr>
        <w:t xml:space="preserve">Το ετήσιο έξοδο από τόκους </w:t>
      </w:r>
      <w:r w:rsidR="006F49A5" w:rsidRPr="00AF2EBB">
        <w:rPr>
          <w:rFonts w:asciiTheme="minorHAnsi" w:hAnsiTheme="minorHAnsi" w:cstheme="minorHAnsi"/>
          <w:b w:val="0"/>
          <w:color w:val="auto"/>
          <w:sz w:val="22"/>
          <w:szCs w:val="22"/>
          <w:lang w:val="el-GR"/>
        </w:rPr>
        <w:t>προκύπτει αν πολλαπλασιάσουμε το υπόλοιπο αρχής χρήσεως με το αποτελεσματικό επιτόκιο. Το υπόλοιπο τέλους χρήσεως ισούται με:</w:t>
      </w:r>
    </w:p>
    <w:p w14:paraId="737CC36B" w14:textId="77777777" w:rsidR="006F49A5" w:rsidRPr="00AF2EBB" w:rsidRDefault="006F49A5" w:rsidP="00D83DB3">
      <w:pPr>
        <w:pStyle w:val="Heading3"/>
        <w:rPr>
          <w:rFonts w:asciiTheme="minorHAnsi" w:hAnsiTheme="minorHAnsi" w:cstheme="minorHAnsi"/>
          <w:b w:val="0"/>
          <w:color w:val="auto"/>
          <w:sz w:val="22"/>
          <w:szCs w:val="22"/>
          <w:lang w:val="el-GR"/>
        </w:rPr>
      </w:pPr>
      <w:r w:rsidRPr="00AF2EBB">
        <w:rPr>
          <w:rFonts w:asciiTheme="minorHAnsi" w:hAnsiTheme="minorHAnsi" w:cstheme="minorHAnsi"/>
          <w:b w:val="0"/>
          <w:color w:val="auto"/>
          <w:sz w:val="22"/>
          <w:szCs w:val="22"/>
          <w:lang w:val="el-GR"/>
        </w:rPr>
        <w:t xml:space="preserve">Υπόλοιπο αρχής + Έξοδο από τόκους (Υπόλοιπο Αρχής Χ Αποτελεσματικό Επιτόκιο – Τοκομερίδιο = Υπόλοιπο τέλους χρήσεως. </w:t>
      </w:r>
    </w:p>
    <w:p w14:paraId="1461E060" w14:textId="77777777" w:rsidR="00D83DB3" w:rsidRPr="00AF2EBB" w:rsidRDefault="006F49A5" w:rsidP="00D83DB3">
      <w:pPr>
        <w:pStyle w:val="Heading3"/>
        <w:rPr>
          <w:rFonts w:asciiTheme="minorHAnsi" w:hAnsiTheme="minorHAnsi" w:cstheme="minorHAnsi"/>
          <w:b w:val="0"/>
          <w:color w:val="auto"/>
          <w:sz w:val="22"/>
          <w:szCs w:val="22"/>
          <w:lang w:val="el-GR"/>
        </w:rPr>
      </w:pPr>
      <w:r w:rsidRPr="00AF2EBB">
        <w:rPr>
          <w:rFonts w:asciiTheme="minorHAnsi" w:hAnsiTheme="minorHAnsi" w:cstheme="minorHAnsi"/>
          <w:b w:val="0"/>
          <w:color w:val="auto"/>
          <w:sz w:val="22"/>
          <w:szCs w:val="22"/>
          <w:lang w:val="el-GR"/>
        </w:rPr>
        <w:t xml:space="preserve">Το ετήσιο έξοδο από τόκους </w:t>
      </w:r>
      <w:r w:rsidR="00D83DB3" w:rsidRPr="00AF2EBB">
        <w:rPr>
          <w:rFonts w:asciiTheme="minorHAnsi" w:hAnsiTheme="minorHAnsi" w:cstheme="minorHAnsi"/>
          <w:b w:val="0"/>
          <w:color w:val="auto"/>
          <w:sz w:val="22"/>
          <w:szCs w:val="22"/>
          <w:lang w:val="el-GR"/>
        </w:rPr>
        <w:t xml:space="preserve">Είναι σταθερό σαν </w:t>
      </w:r>
      <w:r w:rsidRPr="00AF2EBB">
        <w:rPr>
          <w:rFonts w:asciiTheme="minorHAnsi" w:hAnsiTheme="minorHAnsi" w:cstheme="minorHAnsi"/>
          <w:b w:val="0"/>
          <w:color w:val="auto"/>
          <w:sz w:val="22"/>
          <w:szCs w:val="22"/>
          <w:lang w:val="el-GR"/>
        </w:rPr>
        <w:t>επιτόκιο</w:t>
      </w:r>
      <w:r w:rsidR="00D83DB3" w:rsidRPr="00AF2EBB">
        <w:rPr>
          <w:rFonts w:asciiTheme="minorHAnsi" w:hAnsiTheme="minorHAnsi" w:cstheme="minorHAnsi"/>
          <w:b w:val="0"/>
          <w:color w:val="auto"/>
          <w:sz w:val="22"/>
          <w:szCs w:val="22"/>
          <w:lang w:val="el-GR"/>
        </w:rPr>
        <w:t xml:space="preserve"> αλλά μεταβλητό σαν </w:t>
      </w:r>
      <w:r w:rsidRPr="00AF2EBB">
        <w:rPr>
          <w:rFonts w:asciiTheme="minorHAnsi" w:hAnsiTheme="minorHAnsi" w:cstheme="minorHAnsi"/>
          <w:b w:val="0"/>
          <w:color w:val="auto"/>
          <w:sz w:val="22"/>
          <w:szCs w:val="22"/>
          <w:lang w:val="el-GR"/>
        </w:rPr>
        <w:t>ποσό</w:t>
      </w:r>
      <w:r w:rsidR="00D83DB3" w:rsidRPr="00AF2EBB">
        <w:rPr>
          <w:rFonts w:asciiTheme="minorHAnsi" w:hAnsiTheme="minorHAnsi" w:cstheme="minorHAnsi"/>
          <w:b w:val="0"/>
          <w:color w:val="auto"/>
          <w:sz w:val="22"/>
          <w:szCs w:val="22"/>
          <w:lang w:val="el-GR"/>
        </w:rPr>
        <w:t>.</w:t>
      </w:r>
    </w:p>
    <w:p w14:paraId="09E98A23" w14:textId="77777777" w:rsidR="00D83DB3" w:rsidRPr="00AF2EBB" w:rsidRDefault="00D83DB3" w:rsidP="00D83DB3">
      <w:pPr>
        <w:rPr>
          <w:rFonts w:asciiTheme="minorHAnsi" w:hAnsiTheme="minorHAnsi" w:cstheme="minorHAnsi"/>
          <w:sz w:val="22"/>
          <w:szCs w:val="22"/>
          <w:lang w:val="el-GR"/>
        </w:rPr>
      </w:pPr>
    </w:p>
    <w:p w14:paraId="5F650A39" w14:textId="77777777" w:rsidR="006F49A5" w:rsidRPr="00AF2EBB" w:rsidRDefault="006F49A5" w:rsidP="006F49A5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AF2EBB">
        <w:rPr>
          <w:rFonts w:asciiTheme="minorHAnsi" w:hAnsiTheme="minorHAnsi" w:cstheme="minorHAnsi"/>
          <w:sz w:val="22"/>
          <w:szCs w:val="22"/>
          <w:lang w:val="el-GR"/>
        </w:rPr>
        <w:t xml:space="preserve">Η μέθοδος του αποτελεσματικού επιτοκίου  υιοθετείται </w:t>
      </w:r>
      <w:r w:rsidR="00635464" w:rsidRPr="00AF2EBB">
        <w:rPr>
          <w:rFonts w:asciiTheme="minorHAnsi" w:hAnsiTheme="minorHAnsi" w:cstheme="minorHAnsi"/>
          <w:sz w:val="22"/>
          <w:szCs w:val="22"/>
          <w:lang w:val="el-GR"/>
        </w:rPr>
        <w:t xml:space="preserve">τόσο </w:t>
      </w:r>
      <w:r w:rsidRPr="00AF2EBB">
        <w:rPr>
          <w:rFonts w:asciiTheme="minorHAnsi" w:hAnsiTheme="minorHAnsi" w:cstheme="minorHAnsi"/>
          <w:sz w:val="22"/>
          <w:szCs w:val="22"/>
          <w:lang w:val="el-GR"/>
        </w:rPr>
        <w:t>από τα Διεθνή Λογιστικά Πρότυπα</w:t>
      </w:r>
      <w:r w:rsidR="00635464" w:rsidRPr="00AF2EBB">
        <w:rPr>
          <w:rFonts w:asciiTheme="minorHAnsi" w:hAnsiTheme="minorHAnsi" w:cstheme="minorHAnsi"/>
          <w:sz w:val="22"/>
          <w:szCs w:val="22"/>
          <w:lang w:val="el-GR"/>
        </w:rPr>
        <w:t xml:space="preserve"> όσο και τα Ελληνικά Λογιστικά Πρότυπα.</w:t>
      </w:r>
    </w:p>
    <w:p w14:paraId="42461EAC" w14:textId="77777777" w:rsidR="006F49A5" w:rsidRPr="00AF2EBB" w:rsidRDefault="006F49A5" w:rsidP="00D83DB3">
      <w:pPr>
        <w:rPr>
          <w:rFonts w:asciiTheme="minorHAnsi" w:hAnsiTheme="minorHAnsi" w:cstheme="minorHAnsi"/>
          <w:sz w:val="22"/>
          <w:szCs w:val="22"/>
          <w:lang w:val="el-GR"/>
        </w:rPr>
      </w:pPr>
    </w:p>
    <w:p w14:paraId="1852CC63" w14:textId="67426AE9" w:rsidR="009E3C59" w:rsidRPr="00B05F42" w:rsidRDefault="00996D40" w:rsidP="00B05F42">
      <w:pPr>
        <w:tabs>
          <w:tab w:val="left" w:pos="426"/>
        </w:tabs>
        <w:rPr>
          <w:rFonts w:asciiTheme="minorHAnsi" w:hAnsiTheme="minorHAnsi" w:cstheme="minorHAnsi"/>
          <w:sz w:val="22"/>
          <w:szCs w:val="22"/>
          <w:lang w:val="el-GR"/>
        </w:rPr>
      </w:pPr>
      <w:r w:rsidRPr="00B05F42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Άσκηση </w:t>
      </w:r>
      <w:r w:rsidR="00806823">
        <w:rPr>
          <w:rFonts w:asciiTheme="minorHAnsi" w:hAnsiTheme="minorHAnsi" w:cstheme="minorHAnsi"/>
          <w:b/>
          <w:bCs/>
          <w:sz w:val="22"/>
          <w:szCs w:val="22"/>
          <w:lang w:val="el-GR"/>
        </w:rPr>
        <w:t>1</w:t>
      </w:r>
    </w:p>
    <w:p w14:paraId="3B77B5B3" w14:textId="77777777" w:rsidR="00B05F42" w:rsidRDefault="00B05F42" w:rsidP="00B05F42">
      <w:pPr>
        <w:tabs>
          <w:tab w:val="left" w:pos="426"/>
        </w:tabs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ab/>
      </w:r>
      <w:r w:rsidR="00996D40" w:rsidRPr="00B05F42">
        <w:rPr>
          <w:rFonts w:asciiTheme="minorHAnsi" w:hAnsiTheme="minorHAnsi" w:cstheme="minorHAnsi"/>
          <w:sz w:val="22"/>
          <w:szCs w:val="22"/>
          <w:lang w:val="el-GR"/>
        </w:rPr>
        <w:t>Η ανώνυμη εταιρεία "ΑΒΓ" εκδίδει στη χρήση 1/1/Χ0-31/12/Χ0 ομολογιακό δάνειο, μετατρέψιμο  σε μετοχές,  ύψους €  100.000.000, διαιρεμένο σε 10.000  ομολογίες,  ονομαστικής  αξίας  10.000  €  η  μία  και τιμής εκδόσεως 9.000  € εξοφλητέο σε 10 χρόνια. Οι ομολογίες είναι μετατρέψιμες σε μετοχές. Με τη μετατροπή οι ομολογιούχοι λαμβάνουν 700 κοινές μετοχές ονομαστικής αξίας  10 € η μία για κάθε ομολογία. Στη χρήση 20Χ2 μετατρέπονται όλες οι ομολογίες σε μετοχές.</w:t>
      </w:r>
    </w:p>
    <w:p w14:paraId="7A8275A8" w14:textId="77777777" w:rsidR="009E3C59" w:rsidRPr="00B05F42" w:rsidRDefault="00B05F42" w:rsidP="00B05F42">
      <w:pPr>
        <w:tabs>
          <w:tab w:val="left" w:pos="426"/>
        </w:tabs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ab/>
        <w:t>Διενεργείστε τις σχετικές ημερολογιακές εγγραφές</w:t>
      </w:r>
      <w:r w:rsidR="00996D40" w:rsidRPr="00B05F42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</w:p>
    <w:p w14:paraId="79E8A1DE" w14:textId="76791B1A" w:rsidR="00B05F42" w:rsidRPr="00CB4D5F" w:rsidRDefault="00B05F42" w:rsidP="00D83DB3">
      <w:pPr>
        <w:tabs>
          <w:tab w:val="left" w:pos="426"/>
        </w:tabs>
        <w:rPr>
          <w:rFonts w:asciiTheme="minorHAnsi" w:hAnsiTheme="minorHAnsi" w:cstheme="minorHAnsi"/>
          <w:sz w:val="22"/>
          <w:szCs w:val="22"/>
          <w:lang w:val="el-GR"/>
        </w:rPr>
      </w:pPr>
    </w:p>
    <w:p w14:paraId="6C96BAF4" w14:textId="77777777" w:rsidR="00B05F42" w:rsidRPr="00AF2EBB" w:rsidRDefault="00B05F42" w:rsidP="00D83DB3">
      <w:pPr>
        <w:tabs>
          <w:tab w:val="left" w:pos="426"/>
        </w:tabs>
        <w:rPr>
          <w:rFonts w:asciiTheme="minorHAnsi" w:hAnsiTheme="minorHAnsi" w:cstheme="minorHAnsi"/>
          <w:sz w:val="22"/>
          <w:szCs w:val="22"/>
          <w:lang w:val="el-GR"/>
        </w:rPr>
      </w:pPr>
    </w:p>
    <w:p w14:paraId="6D8F25D6" w14:textId="77777777" w:rsidR="00635464" w:rsidRPr="00AF2EBB" w:rsidRDefault="00635464" w:rsidP="00635464">
      <w:pPr>
        <w:tabs>
          <w:tab w:val="left" w:pos="426"/>
        </w:tabs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AF2EBB">
        <w:rPr>
          <w:rFonts w:asciiTheme="minorHAnsi" w:hAnsiTheme="minorHAnsi" w:cstheme="minorHAnsi"/>
          <w:b/>
          <w:sz w:val="22"/>
          <w:szCs w:val="22"/>
          <w:lang w:val="el-GR"/>
        </w:rPr>
        <w:t>ΚΑΛΟ ΔΙΑΒΑΣΜΑ &amp; ΚΑΛΟ ΚΑΛΟΚΑΙΡΙ</w:t>
      </w:r>
    </w:p>
    <w:sectPr w:rsidR="00635464" w:rsidRPr="00AF2EBB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2D8B3" w14:textId="77777777" w:rsidR="00C03F41" w:rsidRDefault="00C03F41">
      <w:r>
        <w:separator/>
      </w:r>
    </w:p>
  </w:endnote>
  <w:endnote w:type="continuationSeparator" w:id="0">
    <w:p w14:paraId="5C3DD227" w14:textId="77777777" w:rsidR="00C03F41" w:rsidRDefault="00C0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BA3B1" w14:textId="77777777" w:rsidR="00000000" w:rsidRDefault="006F49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13B843" w14:textId="77777777" w:rsidR="00000000" w:rsidRDefault="0000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82BC5" w14:textId="77777777" w:rsidR="00000000" w:rsidRDefault="006F49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095F">
      <w:rPr>
        <w:rStyle w:val="PageNumber"/>
        <w:noProof/>
      </w:rPr>
      <w:t>6</w:t>
    </w:r>
    <w:r>
      <w:rPr>
        <w:rStyle w:val="PageNumber"/>
      </w:rPr>
      <w:fldChar w:fldCharType="end"/>
    </w:r>
  </w:p>
  <w:p w14:paraId="46B3E5FB" w14:textId="77777777" w:rsidR="00000000" w:rsidRDefault="000000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75A91" w14:textId="77777777" w:rsidR="00C03F41" w:rsidRDefault="00C03F41">
      <w:r>
        <w:separator/>
      </w:r>
    </w:p>
  </w:footnote>
  <w:footnote w:type="continuationSeparator" w:id="0">
    <w:p w14:paraId="7DDF5FBC" w14:textId="77777777" w:rsidR="00C03F41" w:rsidRDefault="00C03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7786"/>
    <w:multiLevelType w:val="hybridMultilevel"/>
    <w:tmpl w:val="4C5E11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E48F4"/>
    <w:multiLevelType w:val="hybridMultilevel"/>
    <w:tmpl w:val="E3E0C27E"/>
    <w:lvl w:ilvl="0" w:tplc="0F685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10A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FEB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E4B9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2D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BAA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CC8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CF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A2B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DB4C1C"/>
    <w:multiLevelType w:val="hybridMultilevel"/>
    <w:tmpl w:val="3FA6210A"/>
    <w:lvl w:ilvl="0" w:tplc="D9C27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586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522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4CC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54C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AC2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4E6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50A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E8C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E9006B"/>
    <w:multiLevelType w:val="hybridMultilevel"/>
    <w:tmpl w:val="798420EC"/>
    <w:lvl w:ilvl="0" w:tplc="60287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981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128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9CA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266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D46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C5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14A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787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6362C9"/>
    <w:multiLevelType w:val="hybridMultilevel"/>
    <w:tmpl w:val="FDE4A0FE"/>
    <w:lvl w:ilvl="0" w:tplc="BD0A9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026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A02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B47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7C5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B63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4C2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18B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2C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4E0A4A"/>
    <w:multiLevelType w:val="hybridMultilevel"/>
    <w:tmpl w:val="1A4675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B69A2"/>
    <w:multiLevelType w:val="hybridMultilevel"/>
    <w:tmpl w:val="5B820E3E"/>
    <w:lvl w:ilvl="0" w:tplc="B24A6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1A98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369F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821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B8A7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F1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009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BAB7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7A4D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A41B84"/>
    <w:multiLevelType w:val="hybridMultilevel"/>
    <w:tmpl w:val="74CAC85A"/>
    <w:lvl w:ilvl="0" w:tplc="9E582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14B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0AC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36E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8CD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987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620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CAC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52D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B4A70B8"/>
    <w:multiLevelType w:val="hybridMultilevel"/>
    <w:tmpl w:val="372E2BEC"/>
    <w:lvl w:ilvl="0" w:tplc="6C0A5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CAF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7C3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542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049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2D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925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7C1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7E9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770058D"/>
    <w:multiLevelType w:val="hybridMultilevel"/>
    <w:tmpl w:val="46AE0E0C"/>
    <w:lvl w:ilvl="0" w:tplc="23225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B80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24D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3C3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682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C7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D6E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8B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EA6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38620C6"/>
    <w:multiLevelType w:val="hybridMultilevel"/>
    <w:tmpl w:val="248EB48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AA0B05"/>
    <w:multiLevelType w:val="hybridMultilevel"/>
    <w:tmpl w:val="C9E87ED6"/>
    <w:lvl w:ilvl="0" w:tplc="6D6E7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3C15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D05F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52F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49A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5C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8C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CF4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5273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840FA9"/>
    <w:multiLevelType w:val="hybridMultilevel"/>
    <w:tmpl w:val="18F4CAAA"/>
    <w:lvl w:ilvl="0" w:tplc="78B2B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28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E8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CE2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65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28D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CC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C2C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7CA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20C6D4E"/>
    <w:multiLevelType w:val="hybridMultilevel"/>
    <w:tmpl w:val="0AAEFB26"/>
    <w:lvl w:ilvl="0" w:tplc="07187B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97E01"/>
    <w:multiLevelType w:val="hybridMultilevel"/>
    <w:tmpl w:val="F364F0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77F0E"/>
    <w:multiLevelType w:val="hybridMultilevel"/>
    <w:tmpl w:val="38A0ADF2"/>
    <w:lvl w:ilvl="0" w:tplc="C52E1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FE7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E6E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A05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169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AEB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3AB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D4C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6C6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9437E35"/>
    <w:multiLevelType w:val="hybridMultilevel"/>
    <w:tmpl w:val="F8D0E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54AE5"/>
    <w:multiLevelType w:val="hybridMultilevel"/>
    <w:tmpl w:val="F190A1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1693B"/>
    <w:multiLevelType w:val="hybridMultilevel"/>
    <w:tmpl w:val="AB44C42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9932018">
    <w:abstractNumId w:val="16"/>
  </w:num>
  <w:num w:numId="2" w16cid:durableId="1121195096">
    <w:abstractNumId w:val="5"/>
  </w:num>
  <w:num w:numId="3" w16cid:durableId="1885364569">
    <w:abstractNumId w:val="17"/>
  </w:num>
  <w:num w:numId="4" w16cid:durableId="1157644487">
    <w:abstractNumId w:val="0"/>
  </w:num>
  <w:num w:numId="5" w16cid:durableId="1556114461">
    <w:abstractNumId w:val="6"/>
  </w:num>
  <w:num w:numId="6" w16cid:durableId="837769253">
    <w:abstractNumId w:val="10"/>
  </w:num>
  <w:num w:numId="7" w16cid:durableId="2109961211">
    <w:abstractNumId w:val="18"/>
  </w:num>
  <w:num w:numId="8" w16cid:durableId="1019085410">
    <w:abstractNumId w:val="14"/>
  </w:num>
  <w:num w:numId="9" w16cid:durableId="1105417450">
    <w:abstractNumId w:val="15"/>
  </w:num>
  <w:num w:numId="10" w16cid:durableId="518735093">
    <w:abstractNumId w:val="4"/>
  </w:num>
  <w:num w:numId="11" w16cid:durableId="424112102">
    <w:abstractNumId w:val="11"/>
  </w:num>
  <w:num w:numId="12" w16cid:durableId="245963754">
    <w:abstractNumId w:val="3"/>
  </w:num>
  <w:num w:numId="13" w16cid:durableId="2144229718">
    <w:abstractNumId w:val="7"/>
  </w:num>
  <w:num w:numId="14" w16cid:durableId="2092660638">
    <w:abstractNumId w:val="8"/>
  </w:num>
  <w:num w:numId="15" w16cid:durableId="1698000417">
    <w:abstractNumId w:val="9"/>
  </w:num>
  <w:num w:numId="16" w16cid:durableId="1653288547">
    <w:abstractNumId w:val="13"/>
  </w:num>
  <w:num w:numId="17" w16cid:durableId="612515119">
    <w:abstractNumId w:val="2"/>
  </w:num>
  <w:num w:numId="18" w16cid:durableId="915632602">
    <w:abstractNumId w:val="1"/>
  </w:num>
  <w:num w:numId="19" w16cid:durableId="19947910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B3"/>
    <w:rsid w:val="00090832"/>
    <w:rsid w:val="000E529A"/>
    <w:rsid w:val="001042AD"/>
    <w:rsid w:val="00114B8B"/>
    <w:rsid w:val="00162EEB"/>
    <w:rsid w:val="001638EE"/>
    <w:rsid w:val="001646F8"/>
    <w:rsid w:val="001A6626"/>
    <w:rsid w:val="00207E46"/>
    <w:rsid w:val="00232657"/>
    <w:rsid w:val="00236E6D"/>
    <w:rsid w:val="00294A0F"/>
    <w:rsid w:val="00320916"/>
    <w:rsid w:val="00355770"/>
    <w:rsid w:val="00372EB1"/>
    <w:rsid w:val="003B5F2E"/>
    <w:rsid w:val="003E37E3"/>
    <w:rsid w:val="003F19E7"/>
    <w:rsid w:val="00425EF5"/>
    <w:rsid w:val="00461BF0"/>
    <w:rsid w:val="00465960"/>
    <w:rsid w:val="00496950"/>
    <w:rsid w:val="005027B1"/>
    <w:rsid w:val="00526E40"/>
    <w:rsid w:val="00567AFE"/>
    <w:rsid w:val="005F2238"/>
    <w:rsid w:val="00635172"/>
    <w:rsid w:val="00635464"/>
    <w:rsid w:val="006462DA"/>
    <w:rsid w:val="00672D8A"/>
    <w:rsid w:val="006A01D3"/>
    <w:rsid w:val="006E2B0E"/>
    <w:rsid w:val="006F49A5"/>
    <w:rsid w:val="006F4B5B"/>
    <w:rsid w:val="007159FB"/>
    <w:rsid w:val="0074016D"/>
    <w:rsid w:val="007C29CF"/>
    <w:rsid w:val="007F1FAD"/>
    <w:rsid w:val="00806823"/>
    <w:rsid w:val="00815977"/>
    <w:rsid w:val="008572F7"/>
    <w:rsid w:val="008620B8"/>
    <w:rsid w:val="0088145C"/>
    <w:rsid w:val="009318C4"/>
    <w:rsid w:val="00996D40"/>
    <w:rsid w:val="009E3C59"/>
    <w:rsid w:val="00A05612"/>
    <w:rsid w:val="00A07D04"/>
    <w:rsid w:val="00A11112"/>
    <w:rsid w:val="00A34CAF"/>
    <w:rsid w:val="00A81194"/>
    <w:rsid w:val="00A877FD"/>
    <w:rsid w:val="00A9095F"/>
    <w:rsid w:val="00AF2EBB"/>
    <w:rsid w:val="00B05F42"/>
    <w:rsid w:val="00B94D12"/>
    <w:rsid w:val="00BB62B1"/>
    <w:rsid w:val="00BC7F93"/>
    <w:rsid w:val="00BD15BC"/>
    <w:rsid w:val="00BD369B"/>
    <w:rsid w:val="00BF2F0C"/>
    <w:rsid w:val="00C03F41"/>
    <w:rsid w:val="00C27189"/>
    <w:rsid w:val="00C43A27"/>
    <w:rsid w:val="00CB4D5F"/>
    <w:rsid w:val="00CC3564"/>
    <w:rsid w:val="00CC668C"/>
    <w:rsid w:val="00CE4F1B"/>
    <w:rsid w:val="00D01C93"/>
    <w:rsid w:val="00D83DB3"/>
    <w:rsid w:val="00DB5E29"/>
    <w:rsid w:val="00E269CF"/>
    <w:rsid w:val="00E66111"/>
    <w:rsid w:val="00ED49C3"/>
    <w:rsid w:val="00EE2CB0"/>
    <w:rsid w:val="00F62B0D"/>
    <w:rsid w:val="00F7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3772F"/>
  <w15:docId w15:val="{A40D0D15-98F8-4E30-8A42-DB66D555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83DB3"/>
    <w:pPr>
      <w:keepNext/>
      <w:spacing w:line="360" w:lineRule="auto"/>
      <w:outlineLvl w:val="0"/>
    </w:pPr>
    <w:rPr>
      <w:sz w:val="24"/>
      <w:lang w:val="el-G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D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3DB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83DB3"/>
    <w:pPr>
      <w:tabs>
        <w:tab w:val="center" w:pos="4819"/>
        <w:tab w:val="right" w:pos="9071"/>
      </w:tabs>
    </w:pPr>
    <w:rPr>
      <w:sz w:val="24"/>
      <w:lang w:val="en-GB"/>
    </w:rPr>
  </w:style>
  <w:style w:type="character" w:customStyle="1" w:styleId="FooterChar">
    <w:name w:val="Footer Char"/>
    <w:basedOn w:val="DefaultParagraphFont"/>
    <w:link w:val="Footer"/>
    <w:rsid w:val="00D83DB3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D83DB3"/>
  </w:style>
  <w:style w:type="paragraph" w:styleId="BodyText2">
    <w:name w:val="Body Text 2"/>
    <w:basedOn w:val="Normal"/>
    <w:link w:val="BodyText2Char"/>
    <w:rsid w:val="00D83DB3"/>
    <w:pPr>
      <w:spacing w:before="120" w:after="120"/>
    </w:pPr>
    <w:rPr>
      <w:sz w:val="52"/>
      <w:szCs w:val="24"/>
      <w:lang w:val="el-GR"/>
    </w:rPr>
  </w:style>
  <w:style w:type="character" w:customStyle="1" w:styleId="BodyText2Char">
    <w:name w:val="Body Text 2 Char"/>
    <w:basedOn w:val="DefaultParagraphFont"/>
    <w:link w:val="BodyText2"/>
    <w:rsid w:val="00D83DB3"/>
    <w:rPr>
      <w:rFonts w:ascii="Times New Roman" w:eastAsia="Times New Roman" w:hAnsi="Times New Roman" w:cs="Times New Roman"/>
      <w:sz w:val="5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DB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BD3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3A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A27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E269CF"/>
    <w:pPr>
      <w:ind w:left="720"/>
      <w:contextualSpacing/>
    </w:pPr>
  </w:style>
  <w:style w:type="paragraph" w:customStyle="1" w:styleId="1">
    <w:name w:val="Κείμενο υποσημείωσης1"/>
    <w:basedOn w:val="Normal"/>
    <w:next w:val="FootnoteText"/>
    <w:link w:val="Char"/>
    <w:uiPriority w:val="99"/>
    <w:semiHidden/>
    <w:unhideWhenUsed/>
    <w:rsid w:val="00672D8A"/>
    <w:rPr>
      <w:rFonts w:asciiTheme="minorHAnsi" w:eastAsiaTheme="minorHAnsi" w:hAnsiTheme="minorHAnsi" w:cstheme="minorBidi"/>
      <w:lang w:val="el-GR"/>
    </w:rPr>
  </w:style>
  <w:style w:type="character" w:customStyle="1" w:styleId="Char">
    <w:name w:val="Κείμενο υποσημείωσης Char"/>
    <w:basedOn w:val="DefaultParagraphFont"/>
    <w:link w:val="1"/>
    <w:uiPriority w:val="99"/>
    <w:semiHidden/>
    <w:rsid w:val="00672D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D8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2D8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2D8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2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54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19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13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77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15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8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15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8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38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4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8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41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7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63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35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73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6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83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0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49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19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43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830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58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86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2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0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06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6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89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7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47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9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316FC-E8C2-4B2A-86CD-819F66ED1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551</Words>
  <Characters>2981</Characters>
  <Application>Microsoft Office Word</Application>
  <DocSecurity>0</DocSecurity>
  <Lines>24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OPTIPLEX 330</dc:creator>
  <cp:lastModifiedBy>DIMOSTHENIS CHEVAS</cp:lastModifiedBy>
  <cp:revision>5</cp:revision>
  <cp:lastPrinted>2020-05-01T08:25:00Z</cp:lastPrinted>
  <dcterms:created xsi:type="dcterms:W3CDTF">2021-05-05T07:02:00Z</dcterms:created>
  <dcterms:modified xsi:type="dcterms:W3CDTF">2024-05-12T06:22:00Z</dcterms:modified>
</cp:coreProperties>
</file>