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0A8F" w14:textId="77777777" w:rsidR="00D83DB3" w:rsidRPr="00AF2EBB" w:rsidRDefault="00D83DB3" w:rsidP="00D83DB3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ΥΠΟΧΡΕΩΣΕΙΣ</w:t>
      </w:r>
    </w:p>
    <w:p w14:paraId="3B2AFACC" w14:textId="77777777" w:rsidR="00635464" w:rsidRPr="00AF2EBB" w:rsidRDefault="00635464" w:rsidP="00635464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AE43ED8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  <w:lang w:val="el-GR"/>
        </w:rPr>
        <w:t>Βραχυπρόθεσμες Υποχρεώσεις</w:t>
      </w:r>
    </w:p>
    <w:p w14:paraId="214BE366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75F8E80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  <w:lang w:val="el-GR"/>
        </w:rPr>
        <w:t>Άσκηση 1</w:t>
      </w:r>
    </w:p>
    <w:p w14:paraId="27EACB86" w14:textId="77777777" w:rsidR="00D83DB3" w:rsidRPr="00AF2EBB" w:rsidRDefault="00D83DB3" w:rsidP="00D83DB3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ab/>
        <w:t>Αγορά εμπορευμάτων την 13/7/20Χ9 με πίστωση, από προμηθευτές εσωτερικού αντί 150.000 € και από προμηθευτές εξωτερικού προς $150.000 όταν $ = € 1,10. Την 23/9/20Χ9 ο προμηθευτής εσωτερικού μας χρεώνει με τόκους 40.000 €. Στις 15/10/20Χ9 καταβάλλονται $ 100.000 στους προμηθευτές εξωτερικού με ισοτιμία $ = € 1,17. Στην απογραφή της 31/12/20Χ9 διαπιστώνεται ότι $ = € 0,98. Οι προμηθευτές εξωτερικού εξοφλούνται στις 15/2/20Χ10 με ισοτιμία $ = € 0,92. Ζητούνται οι σχετικές ημερολογιακές εγγραφές.</w:t>
      </w:r>
    </w:p>
    <w:p w14:paraId="758E9371" w14:textId="77777777" w:rsidR="00D83DB3" w:rsidRPr="00AF2EBB" w:rsidRDefault="00D83DB3" w:rsidP="00D83DB3">
      <w:pPr>
        <w:pStyle w:val="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9BB45FE" w14:textId="77777777" w:rsidR="00D83DB3" w:rsidRPr="00AF2EBB" w:rsidRDefault="00D83DB3" w:rsidP="00D83DB3">
      <w:pPr>
        <w:pStyle w:val="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</w:rPr>
        <w:t>Άσκηση 2</w:t>
      </w:r>
    </w:p>
    <w:p w14:paraId="20790980" w14:textId="70FD19CD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ab/>
        <w:t>Αγορά εμπορευμάτων την 1/12/20Χ0 αξίας 59.000 € έναντι γραμματίων. Εκδίδεται γραμμάτιο ονομαστικής αξίας 65.000 € και λήξεως 31/</w:t>
      </w:r>
      <w:r w:rsidR="00526E40" w:rsidRPr="00604FC9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/20Χ1. Ζητούνται οι σχετικές ημερολογιακές εγγραφές.</w:t>
      </w:r>
    </w:p>
    <w:p w14:paraId="5E6E4073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14:paraId="315550DF" w14:textId="310C57D9" w:rsidR="00232657" w:rsidRDefault="00232657" w:rsidP="00CC3564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8C66F1C" w14:textId="77777777" w:rsidR="00D83DB3" w:rsidRPr="00AF2EBB" w:rsidRDefault="00D83DB3" w:rsidP="00D83DB3">
      <w:pPr>
        <w:pStyle w:val="3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t>Ομολογιακά Δάνεια</w:t>
      </w:r>
    </w:p>
    <w:p w14:paraId="7FA16168" w14:textId="77777777" w:rsidR="00D83DB3" w:rsidRPr="00AF2EBB" w:rsidRDefault="00D83DB3" w:rsidP="00D83DB3">
      <w:pPr>
        <w:pStyle w:val="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t>α) Μέθοδος Σταθερής Απόσβεσης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. Η διαφορά από την υπέρ το άρτιο έκδοση ομολογιών αναγνωρίζεται στα έξοδα πολυετούς απόσβεσης και αποσβένεται μέσα στο χρόνο αποπληρωμής της ομολογίας. </w:t>
      </w:r>
    </w:p>
    <w:p w14:paraId="6D22C39F" w14:textId="77777777" w:rsidR="00D83DB3" w:rsidRPr="00AF2EBB" w:rsidRDefault="00D83DB3" w:rsidP="00D83DB3">
      <w:pPr>
        <w:pStyle w:val="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Το ετήσιο έξοδο από τόκους αποτελείται από το τοκομερίδιο και την απόσβεση της διαφοράς υπό το άρτιο. Είναι σταθερό σαν ποσό αλλά μεταβλητό σαν επιτόκιο.</w:t>
      </w:r>
    </w:p>
    <w:p w14:paraId="69B799E1" w14:textId="77777777" w:rsidR="00D83DB3" w:rsidRPr="00AF2EBB" w:rsidRDefault="00D83DB3" w:rsidP="00D83DB3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439734F7" w14:textId="77777777" w:rsidR="00D83DB3" w:rsidRPr="00AF2EBB" w:rsidRDefault="00D83DB3" w:rsidP="00D83DB3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>Η μέθοδος σταθε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>ρής απόσβεσης υιοθετείται από τα Ελληνικά Λογιστικά Πρότυπα</w:t>
      </w:r>
    </w:p>
    <w:p w14:paraId="1AD7B49C" w14:textId="77777777" w:rsidR="00D83DB3" w:rsidRPr="00AF2EBB" w:rsidRDefault="00D83DB3" w:rsidP="00D83DB3">
      <w:pPr>
        <w:pStyle w:val="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t>α) Μέθοδος Αποτελεσματικού Επιτοκίου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. Αποτελεσματικό επιτόκιο είναι αυτό που μηδενίζει την Καθαρά Παρούσα Αξία της Ομολογίας</w:t>
      </w:r>
      <w:r w:rsidR="006F49A5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και π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ροσδιορίζεται με την έκδοση της.</w:t>
      </w:r>
      <w:r w:rsidR="006F49A5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Το ποσό που αντλήθηκε με την έκδοσή της θεωρείται ότι τοκίζεται με το αποτελεσματικό επιτόκιο και προσαυξάνει την αξία της ομολογίας. Το τοκομερίδιο είναι η μοναδική πληρωμή προς τον ομολογιούχο αλλά δεν συμπίπτει με το έξοδο από τόκους της χρήσεως. </w:t>
      </w:r>
    </w:p>
    <w:p w14:paraId="60388615" w14:textId="77777777" w:rsidR="006F49A5" w:rsidRPr="00AF2EBB" w:rsidRDefault="00D83DB3" w:rsidP="00D83DB3">
      <w:pPr>
        <w:pStyle w:val="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Το ετήσιο έξοδο από τόκους </w:t>
      </w:r>
      <w:r w:rsidR="006F49A5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προκύπτει αν πολλαπλασιάσουμε το υπόλοιπο αρχής χρήσεως με το αποτελεσματικό επιτόκιο. Το υπόλοιπο τέλους χρήσεως ισούται με:</w:t>
      </w:r>
    </w:p>
    <w:p w14:paraId="737CC36B" w14:textId="77777777" w:rsidR="006F49A5" w:rsidRPr="00AF2EBB" w:rsidRDefault="006F49A5" w:rsidP="00D83DB3">
      <w:pPr>
        <w:pStyle w:val="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Υπόλοιπο αρχής + Έξοδο από τόκους (Υπόλοιπο Αρχής Χ Αποτελεσματικό Επιτόκιο – Τοκομερίδιο = Υπόλοιπο τέλους χρήσεως. </w:t>
      </w:r>
    </w:p>
    <w:p w14:paraId="1461E060" w14:textId="77777777" w:rsidR="00D83DB3" w:rsidRPr="00AF2EBB" w:rsidRDefault="006F49A5" w:rsidP="00D83DB3">
      <w:pPr>
        <w:pStyle w:val="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Το ετήσιο έξοδο από τόκους </w:t>
      </w:r>
      <w:r w:rsidR="00D83DB3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Είναι σταθερό σαν 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επιτόκιο</w:t>
      </w:r>
      <w:r w:rsidR="00D83DB3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αλλά μεταβλητό σαν 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ποσό</w:t>
      </w:r>
      <w:r w:rsidR="00D83DB3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.</w:t>
      </w:r>
    </w:p>
    <w:p w14:paraId="09E98A23" w14:textId="77777777" w:rsidR="00D83DB3" w:rsidRPr="00AF2EBB" w:rsidRDefault="00D83DB3" w:rsidP="00D83DB3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F650A39" w14:textId="77777777" w:rsidR="006F49A5" w:rsidRPr="00AF2EBB" w:rsidRDefault="006F49A5" w:rsidP="006F49A5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Η μέθοδος του αποτελεσματικού επιτοκίου  υιοθετείται 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τόσο 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από τα Διεθνή Λογιστικά Πρότυπα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όσο και τα Ελληνικά Λογιστικά Πρότυπα.</w:t>
      </w:r>
    </w:p>
    <w:p w14:paraId="42461EAC" w14:textId="77777777" w:rsidR="006F49A5" w:rsidRPr="00AF2EBB" w:rsidRDefault="006F49A5" w:rsidP="00D83DB3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315D648" w14:textId="77777777" w:rsidR="00FB7D82" w:rsidRDefault="00FB7D82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14:paraId="171390E4" w14:textId="18467C28" w:rsidR="00D83DB3" w:rsidRPr="00AF2EBB" w:rsidRDefault="00D83DB3" w:rsidP="00D83DB3">
      <w:pPr>
        <w:pStyle w:val="3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lastRenderedPageBreak/>
        <w:t>Άσκηση 1</w:t>
      </w:r>
    </w:p>
    <w:p w14:paraId="75F0DFCF" w14:textId="34E51796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ab/>
        <w:t>Έστω ομολογί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 xml:space="preserve">α 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τετραετούς διάρκειας, ονομαστικής αξίας 1.000 €, τιμής εκδόσεως 900 €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>, τιμής εξόφλησης €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 xml:space="preserve">1.000, 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σταθερού επιτοκίου 14,30%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 xml:space="preserve"> και με αποτελεσματικό επιτόκιο 18%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0D70E36F" w14:textId="77777777" w:rsidR="00FB7D82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ab/>
        <w:t>Ετοιμάστε το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πίνακ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τοκοχρεολυτικής απόσβεσης τ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>ης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ομολογ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 xml:space="preserve">ίας 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με την μέθοδο</w:t>
      </w:r>
      <w:r w:rsidR="00FB7D82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74612375" w14:textId="77777777" w:rsidR="00FB7D82" w:rsidRDefault="00FB7D82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D83DB3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α) της </w:t>
      </w:r>
      <w:proofErr w:type="spellStart"/>
      <w:r w:rsidR="00D83DB3" w:rsidRPr="00AF2EBB">
        <w:rPr>
          <w:rFonts w:asciiTheme="minorHAnsi" w:hAnsiTheme="minorHAnsi" w:cstheme="minorHAnsi"/>
          <w:sz w:val="22"/>
          <w:szCs w:val="22"/>
          <w:lang w:val="el-GR"/>
        </w:rPr>
        <w:t>σταθεράς</w:t>
      </w:r>
      <w:proofErr w:type="spellEnd"/>
      <w:r w:rsidR="00D83DB3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απόσβεσης και </w:t>
      </w:r>
    </w:p>
    <w:p w14:paraId="10EB3CCB" w14:textId="77777777" w:rsidR="00FB7D82" w:rsidRDefault="00FB7D82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D83DB3" w:rsidRPr="00AF2EBB">
        <w:rPr>
          <w:rFonts w:asciiTheme="minorHAnsi" w:hAnsiTheme="minorHAnsi" w:cstheme="minorHAnsi"/>
          <w:sz w:val="22"/>
          <w:szCs w:val="22"/>
          <w:lang w:val="el-GR"/>
        </w:rPr>
        <w:t>β) του αποτελεσματικού επιτοκίου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</w:p>
    <w:p w14:paraId="02B2C778" w14:textId="2B87EAC6" w:rsidR="00D83DB3" w:rsidRPr="00AF2EBB" w:rsidRDefault="00FB7D82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>διενεργείστε τις σχετικές ημερολογιακές εγγραφές</w:t>
      </w:r>
    </w:p>
    <w:p w14:paraId="1F9AFFC4" w14:textId="77777777" w:rsidR="00D83DB3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14:paraId="6C96BAF4" w14:textId="77777777" w:rsidR="00B05F42" w:rsidRDefault="00B05F42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57078ADF" w14:textId="77777777" w:rsidR="00B52C7B" w:rsidRPr="00AF2EBB" w:rsidRDefault="00B52C7B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</w:p>
    <w:sectPr w:rsidR="00B52C7B" w:rsidRPr="00AF2EB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9F689" w14:textId="77777777" w:rsidR="003E107D" w:rsidRDefault="003E107D">
      <w:r>
        <w:separator/>
      </w:r>
    </w:p>
  </w:endnote>
  <w:endnote w:type="continuationSeparator" w:id="0">
    <w:p w14:paraId="1FF10761" w14:textId="77777777" w:rsidR="003E107D" w:rsidRDefault="003E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A3B1" w14:textId="77777777" w:rsidR="00000000" w:rsidRDefault="006F49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13B843" w14:textId="77777777" w:rsidR="00000000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2BC5" w14:textId="77777777" w:rsidR="00000000" w:rsidRDefault="006F49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95F">
      <w:rPr>
        <w:rStyle w:val="a4"/>
        <w:noProof/>
      </w:rPr>
      <w:t>6</w:t>
    </w:r>
    <w:r>
      <w:rPr>
        <w:rStyle w:val="a4"/>
      </w:rPr>
      <w:fldChar w:fldCharType="end"/>
    </w:r>
  </w:p>
  <w:p w14:paraId="46B3E5FB" w14:textId="77777777" w:rsidR="00000000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3BEC" w14:textId="77777777" w:rsidR="003E107D" w:rsidRDefault="003E107D">
      <w:r>
        <w:separator/>
      </w:r>
    </w:p>
  </w:footnote>
  <w:footnote w:type="continuationSeparator" w:id="0">
    <w:p w14:paraId="2EB71159" w14:textId="77777777" w:rsidR="003E107D" w:rsidRDefault="003E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786"/>
    <w:multiLevelType w:val="hybridMultilevel"/>
    <w:tmpl w:val="4C5E1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006B"/>
    <w:multiLevelType w:val="hybridMultilevel"/>
    <w:tmpl w:val="798420EC"/>
    <w:lvl w:ilvl="0" w:tplc="6028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81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28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66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C5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4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7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6362C9"/>
    <w:multiLevelType w:val="hybridMultilevel"/>
    <w:tmpl w:val="FDE4A0FE"/>
    <w:lvl w:ilvl="0" w:tplc="BD0A9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2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0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7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5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63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C2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B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C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4E0A4A"/>
    <w:multiLevelType w:val="hybridMultilevel"/>
    <w:tmpl w:val="1A467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69A2"/>
    <w:multiLevelType w:val="hybridMultilevel"/>
    <w:tmpl w:val="5B820E3E"/>
    <w:lvl w:ilvl="0" w:tplc="B24A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A9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69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2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8A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F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AB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A4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41B84"/>
    <w:multiLevelType w:val="hybridMultilevel"/>
    <w:tmpl w:val="74CAC85A"/>
    <w:lvl w:ilvl="0" w:tplc="9E58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4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6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D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8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20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AC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2D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4A70B8"/>
    <w:multiLevelType w:val="hybridMultilevel"/>
    <w:tmpl w:val="372E2BEC"/>
    <w:lvl w:ilvl="0" w:tplc="6C0A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C3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9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2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2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C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E9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70058D"/>
    <w:multiLevelType w:val="hybridMultilevel"/>
    <w:tmpl w:val="46AE0E0C"/>
    <w:lvl w:ilvl="0" w:tplc="2322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C3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82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E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B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6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8620C6"/>
    <w:multiLevelType w:val="hybridMultilevel"/>
    <w:tmpl w:val="248EB4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AA0B05"/>
    <w:multiLevelType w:val="hybridMultilevel"/>
    <w:tmpl w:val="C9E87ED6"/>
    <w:lvl w:ilvl="0" w:tplc="6D6E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1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5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2F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C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C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F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7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C6D4E"/>
    <w:multiLevelType w:val="hybridMultilevel"/>
    <w:tmpl w:val="0AAEFB26"/>
    <w:lvl w:ilvl="0" w:tplc="07187B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7E01"/>
    <w:multiLevelType w:val="hybridMultilevel"/>
    <w:tmpl w:val="F364F0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7F0E"/>
    <w:multiLevelType w:val="hybridMultilevel"/>
    <w:tmpl w:val="38A0ADF2"/>
    <w:lvl w:ilvl="0" w:tplc="C52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E7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6E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69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A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4C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437E35"/>
    <w:multiLevelType w:val="hybridMultilevel"/>
    <w:tmpl w:val="F8D0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54AE5"/>
    <w:multiLevelType w:val="hybridMultilevel"/>
    <w:tmpl w:val="F190A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693B"/>
    <w:multiLevelType w:val="hybridMultilevel"/>
    <w:tmpl w:val="AB44C42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932018">
    <w:abstractNumId w:val="13"/>
  </w:num>
  <w:num w:numId="2" w16cid:durableId="1121195096">
    <w:abstractNumId w:val="3"/>
  </w:num>
  <w:num w:numId="3" w16cid:durableId="1885364569">
    <w:abstractNumId w:val="14"/>
  </w:num>
  <w:num w:numId="4" w16cid:durableId="1157644487">
    <w:abstractNumId w:val="0"/>
  </w:num>
  <w:num w:numId="5" w16cid:durableId="1556114461">
    <w:abstractNumId w:val="4"/>
  </w:num>
  <w:num w:numId="6" w16cid:durableId="837769253">
    <w:abstractNumId w:val="8"/>
  </w:num>
  <w:num w:numId="7" w16cid:durableId="2109961211">
    <w:abstractNumId w:val="15"/>
  </w:num>
  <w:num w:numId="8" w16cid:durableId="1019085410">
    <w:abstractNumId w:val="11"/>
  </w:num>
  <w:num w:numId="9" w16cid:durableId="1105417450">
    <w:abstractNumId w:val="12"/>
  </w:num>
  <w:num w:numId="10" w16cid:durableId="518735093">
    <w:abstractNumId w:val="2"/>
  </w:num>
  <w:num w:numId="11" w16cid:durableId="424112102">
    <w:abstractNumId w:val="9"/>
  </w:num>
  <w:num w:numId="12" w16cid:durableId="245963754">
    <w:abstractNumId w:val="1"/>
  </w:num>
  <w:num w:numId="13" w16cid:durableId="2144229718">
    <w:abstractNumId w:val="5"/>
  </w:num>
  <w:num w:numId="14" w16cid:durableId="2092660638">
    <w:abstractNumId w:val="6"/>
  </w:num>
  <w:num w:numId="15" w16cid:durableId="1698000417">
    <w:abstractNumId w:val="7"/>
  </w:num>
  <w:num w:numId="16" w16cid:durableId="1653288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B3"/>
    <w:rsid w:val="00012013"/>
    <w:rsid w:val="00090832"/>
    <w:rsid w:val="000E529A"/>
    <w:rsid w:val="001042AD"/>
    <w:rsid w:val="00114B8B"/>
    <w:rsid w:val="00162EEB"/>
    <w:rsid w:val="001638EE"/>
    <w:rsid w:val="001646F8"/>
    <w:rsid w:val="001A6626"/>
    <w:rsid w:val="00207E46"/>
    <w:rsid w:val="00232657"/>
    <w:rsid w:val="00236E6D"/>
    <w:rsid w:val="00294A0F"/>
    <w:rsid w:val="00320916"/>
    <w:rsid w:val="00355770"/>
    <w:rsid w:val="00372EB1"/>
    <w:rsid w:val="0039712B"/>
    <w:rsid w:val="003B5F2E"/>
    <w:rsid w:val="003E107D"/>
    <w:rsid w:val="003E37E3"/>
    <w:rsid w:val="003F19E7"/>
    <w:rsid w:val="004215B4"/>
    <w:rsid w:val="00425EF5"/>
    <w:rsid w:val="00461BF0"/>
    <w:rsid w:val="00465960"/>
    <w:rsid w:val="00496950"/>
    <w:rsid w:val="005027B1"/>
    <w:rsid w:val="00526E40"/>
    <w:rsid w:val="00567AFE"/>
    <w:rsid w:val="005F2238"/>
    <w:rsid w:val="00604FC9"/>
    <w:rsid w:val="00635172"/>
    <w:rsid w:val="00635464"/>
    <w:rsid w:val="006462DA"/>
    <w:rsid w:val="00672D8A"/>
    <w:rsid w:val="006E2B0E"/>
    <w:rsid w:val="006E54EA"/>
    <w:rsid w:val="006F49A5"/>
    <w:rsid w:val="006F4B5B"/>
    <w:rsid w:val="007159FB"/>
    <w:rsid w:val="0074016D"/>
    <w:rsid w:val="007C29CF"/>
    <w:rsid w:val="007F1FAD"/>
    <w:rsid w:val="00815977"/>
    <w:rsid w:val="008572F7"/>
    <w:rsid w:val="008620B8"/>
    <w:rsid w:val="0088145C"/>
    <w:rsid w:val="009318C4"/>
    <w:rsid w:val="00996D40"/>
    <w:rsid w:val="009E3C59"/>
    <w:rsid w:val="00A05612"/>
    <w:rsid w:val="00A07D04"/>
    <w:rsid w:val="00A11112"/>
    <w:rsid w:val="00A34CAF"/>
    <w:rsid w:val="00A81194"/>
    <w:rsid w:val="00A877FD"/>
    <w:rsid w:val="00A9095F"/>
    <w:rsid w:val="00AF2EBB"/>
    <w:rsid w:val="00B05F42"/>
    <w:rsid w:val="00B22716"/>
    <w:rsid w:val="00B52C7B"/>
    <w:rsid w:val="00B94D12"/>
    <w:rsid w:val="00BB62B1"/>
    <w:rsid w:val="00BC7F93"/>
    <w:rsid w:val="00BD15BC"/>
    <w:rsid w:val="00BD369B"/>
    <w:rsid w:val="00BF2F0C"/>
    <w:rsid w:val="00C27189"/>
    <w:rsid w:val="00C43A27"/>
    <w:rsid w:val="00CB4D5F"/>
    <w:rsid w:val="00CC3564"/>
    <w:rsid w:val="00CC668C"/>
    <w:rsid w:val="00CE4F1B"/>
    <w:rsid w:val="00D01C93"/>
    <w:rsid w:val="00D83DB3"/>
    <w:rsid w:val="00DB5E29"/>
    <w:rsid w:val="00E269CF"/>
    <w:rsid w:val="00E66111"/>
    <w:rsid w:val="00ED49C3"/>
    <w:rsid w:val="00EE2CB0"/>
    <w:rsid w:val="00F62B0D"/>
    <w:rsid w:val="00F75E34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772F"/>
  <w15:docId w15:val="{A40D0D15-98F8-4E30-8A42-DB66D55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D83DB3"/>
    <w:pPr>
      <w:keepNext/>
      <w:spacing w:line="360" w:lineRule="auto"/>
      <w:outlineLvl w:val="0"/>
    </w:pPr>
    <w:rPr>
      <w:sz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3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83DB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Char"/>
    <w:rsid w:val="00D83DB3"/>
    <w:pPr>
      <w:tabs>
        <w:tab w:val="center" w:pos="4819"/>
        <w:tab w:val="right" w:pos="9071"/>
      </w:tabs>
    </w:pPr>
    <w:rPr>
      <w:sz w:val="24"/>
      <w:lang w:val="en-GB"/>
    </w:rPr>
  </w:style>
  <w:style w:type="character" w:customStyle="1" w:styleId="Char">
    <w:name w:val="Υποσέλιδο Char"/>
    <w:basedOn w:val="a0"/>
    <w:link w:val="a3"/>
    <w:rsid w:val="00D83D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4">
    <w:name w:val="page number"/>
    <w:basedOn w:val="a0"/>
    <w:rsid w:val="00D83DB3"/>
  </w:style>
  <w:style w:type="paragraph" w:styleId="2">
    <w:name w:val="Body Text 2"/>
    <w:basedOn w:val="a"/>
    <w:link w:val="2Char"/>
    <w:rsid w:val="00D83DB3"/>
    <w:pPr>
      <w:spacing w:before="120" w:after="120"/>
    </w:pPr>
    <w:rPr>
      <w:sz w:val="52"/>
      <w:szCs w:val="24"/>
      <w:lang w:val="el-GR"/>
    </w:rPr>
  </w:style>
  <w:style w:type="character" w:customStyle="1" w:styleId="2Char">
    <w:name w:val="Σώμα κείμενου 2 Char"/>
    <w:basedOn w:val="a0"/>
    <w:link w:val="2"/>
    <w:rsid w:val="00D83DB3"/>
    <w:rPr>
      <w:rFonts w:ascii="Times New Roman" w:eastAsia="Times New Roman" w:hAnsi="Times New Roman" w:cs="Times New Roman"/>
      <w:sz w:val="52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D83D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table" w:styleId="a5">
    <w:name w:val="Table Grid"/>
    <w:basedOn w:val="a1"/>
    <w:uiPriority w:val="59"/>
    <w:rsid w:val="00BD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C43A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43A2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E269CF"/>
    <w:pPr>
      <w:ind w:left="720"/>
      <w:contextualSpacing/>
    </w:pPr>
  </w:style>
  <w:style w:type="paragraph" w:customStyle="1" w:styleId="10">
    <w:name w:val="Κείμενο υποσημείωσης1"/>
    <w:basedOn w:val="a"/>
    <w:next w:val="a8"/>
    <w:link w:val="Char1"/>
    <w:uiPriority w:val="99"/>
    <w:semiHidden/>
    <w:unhideWhenUsed/>
    <w:rsid w:val="00672D8A"/>
    <w:rPr>
      <w:rFonts w:asciiTheme="minorHAnsi" w:eastAsiaTheme="minorHAnsi" w:hAnsiTheme="minorHAnsi" w:cstheme="minorBidi"/>
      <w:lang w:val="el-GR"/>
    </w:rPr>
  </w:style>
  <w:style w:type="character" w:customStyle="1" w:styleId="Char1">
    <w:name w:val="Κείμενο υποσημείωσης Char"/>
    <w:basedOn w:val="a0"/>
    <w:link w:val="10"/>
    <w:uiPriority w:val="99"/>
    <w:semiHidden/>
    <w:rsid w:val="00672D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2D8A"/>
    <w:rPr>
      <w:vertAlign w:val="superscript"/>
    </w:rPr>
  </w:style>
  <w:style w:type="paragraph" w:styleId="a8">
    <w:name w:val="footnote text"/>
    <w:basedOn w:val="a"/>
    <w:link w:val="Char10"/>
    <w:uiPriority w:val="99"/>
    <w:semiHidden/>
    <w:unhideWhenUsed/>
    <w:rsid w:val="00672D8A"/>
  </w:style>
  <w:style w:type="character" w:customStyle="1" w:styleId="Char10">
    <w:name w:val="Κείμενο υποσημείωσης Char1"/>
    <w:basedOn w:val="a0"/>
    <w:link w:val="a8"/>
    <w:uiPriority w:val="99"/>
    <w:semiHidden/>
    <w:rsid w:val="00672D8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6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6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16FC-E8C2-4B2A-86CD-819F66ED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 330</dc:creator>
  <cp:lastModifiedBy>CHRISTOS TZOVAS</cp:lastModifiedBy>
  <cp:revision>3</cp:revision>
  <cp:lastPrinted>2023-05-29T11:18:00Z</cp:lastPrinted>
  <dcterms:created xsi:type="dcterms:W3CDTF">2023-05-29T17:51:00Z</dcterms:created>
  <dcterms:modified xsi:type="dcterms:W3CDTF">2024-05-10T03:31:00Z</dcterms:modified>
</cp:coreProperties>
</file>